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00EE32" w14:textId="7905DDF6" w:rsidR="004B313F" w:rsidRDefault="004B313F" w:rsidP="004B313F">
      <w:pPr>
        <w:pStyle w:val="3GPPHeader"/>
        <w:spacing w:after="60"/>
        <w:rPr>
          <w:sz w:val="32"/>
          <w:szCs w:val="32"/>
          <w:highlight w:val="yellow"/>
        </w:rPr>
      </w:pPr>
      <w:r>
        <w:t>3GPP TSG-RAN WG1 Meeting #107-e</w:t>
      </w:r>
      <w:r>
        <w:tab/>
      </w:r>
      <w:r>
        <w:rPr>
          <w:sz w:val="32"/>
          <w:szCs w:val="32"/>
        </w:rPr>
        <w:t xml:space="preserve">Tdoc </w:t>
      </w:r>
      <w:r w:rsidRPr="00B2003D">
        <w:rPr>
          <w:sz w:val="32"/>
          <w:szCs w:val="32"/>
        </w:rPr>
        <w:t>R1-2</w:t>
      </w:r>
      <w:r w:rsidR="00B2003D" w:rsidRPr="00B2003D">
        <w:rPr>
          <w:sz w:val="32"/>
          <w:szCs w:val="32"/>
        </w:rPr>
        <w:t>111471</w:t>
      </w:r>
    </w:p>
    <w:p w14:paraId="35BEEBE7" w14:textId="77777777" w:rsidR="004B313F" w:rsidRDefault="004B313F" w:rsidP="004B313F">
      <w:pPr>
        <w:pStyle w:val="3GPPHeader"/>
      </w:pPr>
      <w:r>
        <w:t>e-Meeting, 11</w:t>
      </w:r>
      <w:r>
        <w:rPr>
          <w:vertAlign w:val="superscript"/>
        </w:rPr>
        <w:t>th</w:t>
      </w:r>
      <w:r>
        <w:t xml:space="preserve"> – 19</w:t>
      </w:r>
      <w:r>
        <w:rPr>
          <w:vertAlign w:val="superscript"/>
        </w:rPr>
        <w:t>th</w:t>
      </w:r>
      <w:r>
        <w:t xml:space="preserve"> November, 2021</w:t>
      </w:r>
    </w:p>
    <w:p w14:paraId="5CE5E37F" w14:textId="77777777" w:rsidR="00E90E49" w:rsidRPr="00CE0424" w:rsidRDefault="00E90E49" w:rsidP="00357380">
      <w:pPr>
        <w:pStyle w:val="3GPPHeader"/>
      </w:pPr>
    </w:p>
    <w:p w14:paraId="7A555DD8" w14:textId="75A47DCD" w:rsidR="00E90E49" w:rsidRPr="00807E1D" w:rsidRDefault="00E90E49" w:rsidP="00311702">
      <w:pPr>
        <w:pStyle w:val="3GPPHeader"/>
        <w:rPr>
          <w:sz w:val="22"/>
        </w:rPr>
      </w:pPr>
      <w:r w:rsidRPr="00807E1D">
        <w:rPr>
          <w:sz w:val="22"/>
        </w:rPr>
        <w:t>Agenda Item:</w:t>
      </w:r>
      <w:r w:rsidRPr="00807E1D">
        <w:rPr>
          <w:sz w:val="22"/>
        </w:rPr>
        <w:tab/>
      </w:r>
      <w:r w:rsidR="00E31A71">
        <w:rPr>
          <w:sz w:val="22"/>
        </w:rPr>
        <w:t>8.1</w:t>
      </w:r>
      <w:r w:rsidR="006112E8">
        <w:rPr>
          <w:sz w:val="22"/>
        </w:rPr>
        <w:t>6</w:t>
      </w:r>
      <w:r w:rsidR="00E31A71">
        <w:rPr>
          <w:sz w:val="22"/>
        </w:rPr>
        <w:t>.2</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05D21D94" w:rsidR="00E90E49" w:rsidRPr="00CE0424" w:rsidRDefault="003D3C45" w:rsidP="00311702">
      <w:pPr>
        <w:pStyle w:val="3GPPHeader"/>
        <w:rPr>
          <w:sz w:val="22"/>
        </w:rPr>
      </w:pPr>
      <w:r>
        <w:rPr>
          <w:sz w:val="22"/>
        </w:rPr>
        <w:t>Title:</w:t>
      </w:r>
      <w:r w:rsidR="00E90E49" w:rsidRPr="00CE0424">
        <w:rPr>
          <w:sz w:val="22"/>
        </w:rPr>
        <w:tab/>
      </w:r>
      <w:r w:rsidR="00E31A71" w:rsidRPr="00E31A71">
        <w:rPr>
          <w:sz w:val="22"/>
        </w:rPr>
        <w:t xml:space="preserve">UE features for </w:t>
      </w:r>
      <w:r w:rsidR="00B93314">
        <w:rPr>
          <w:sz w:val="22"/>
        </w:rPr>
        <w:t>extending current NR</w:t>
      </w:r>
      <w:r w:rsidR="00E31A71" w:rsidRPr="00E31A71">
        <w:rPr>
          <w:sz w:val="22"/>
        </w:rPr>
        <w:t xml:space="preserve"> </w:t>
      </w:r>
      <w:r w:rsidR="00B93314">
        <w:rPr>
          <w:sz w:val="22"/>
        </w:rPr>
        <w:t xml:space="preserve">operation </w:t>
      </w:r>
      <w:r w:rsidR="00E31A71" w:rsidRPr="00E31A71">
        <w:rPr>
          <w:sz w:val="22"/>
        </w:rPr>
        <w:t>to 71 GHz</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002BA1AE" w14:textId="77777777" w:rsidR="00E90E49" w:rsidRPr="00CE0424" w:rsidRDefault="00E90E49" w:rsidP="00E90E49"/>
    <w:p w14:paraId="24E63993" w14:textId="77777777" w:rsidR="00E90E49" w:rsidRPr="00CE0424" w:rsidRDefault="00230D18" w:rsidP="00CE0424">
      <w:pPr>
        <w:pStyle w:val="Heading1"/>
      </w:pPr>
      <w:r>
        <w:t>1</w:t>
      </w:r>
      <w:r>
        <w:tab/>
      </w:r>
      <w:r w:rsidR="00E90E49" w:rsidRPr="00CE0424">
        <w:t>Introduction</w:t>
      </w:r>
    </w:p>
    <w:p w14:paraId="1D97D5AD" w14:textId="3245B209" w:rsidR="00F8114B" w:rsidRPr="00903CB4" w:rsidRDefault="00F8114B" w:rsidP="00CE0424">
      <w:pPr>
        <w:pStyle w:val="BodyText"/>
        <w:rPr>
          <w:lang w:val="en-GB"/>
        </w:rPr>
      </w:pPr>
      <w:r>
        <w:rPr>
          <w:lang w:val="en-GB"/>
        </w:rPr>
        <w:t xml:space="preserve">In this contribution we discuss </w:t>
      </w:r>
      <w:r w:rsidR="00E31A71">
        <w:rPr>
          <w:lang w:val="en-GB"/>
        </w:rPr>
        <w:t xml:space="preserve">open issues regarding the UE features list for the WI </w:t>
      </w:r>
      <w:r w:rsidR="00B93314">
        <w:rPr>
          <w:lang w:val="en-GB"/>
        </w:rPr>
        <w:t xml:space="preserve">Extending </w:t>
      </w:r>
      <w:r w:rsidR="00D167B5">
        <w:rPr>
          <w:lang w:val="en-GB"/>
        </w:rPr>
        <w:t xml:space="preserve">current </w:t>
      </w:r>
      <w:r w:rsidR="00B93314">
        <w:rPr>
          <w:lang w:val="en-GB"/>
        </w:rPr>
        <w:t xml:space="preserve">NR </w:t>
      </w:r>
      <w:r w:rsidR="00D167B5">
        <w:rPr>
          <w:lang w:val="en-GB"/>
        </w:rPr>
        <w:t xml:space="preserve">operation </w:t>
      </w:r>
      <w:r w:rsidR="00B93314">
        <w:rPr>
          <w:lang w:val="en-GB"/>
        </w:rPr>
        <w:t xml:space="preserve">to </w:t>
      </w:r>
      <w:r w:rsidR="00E31A71">
        <w:rPr>
          <w:lang w:val="en-GB"/>
        </w:rPr>
        <w:t xml:space="preserve">71 GHz </w:t>
      </w:r>
      <w:r>
        <w:rPr>
          <w:lang w:val="en-GB"/>
        </w:rPr>
        <w:fldChar w:fldCharType="begin"/>
      </w:r>
      <w:r>
        <w:rPr>
          <w:lang w:val="en-GB"/>
        </w:rPr>
        <w:instrText xml:space="preserve"> REF _Ref37169650 \r \h </w:instrText>
      </w:r>
      <w:r>
        <w:rPr>
          <w:lang w:val="en-GB"/>
        </w:rPr>
      </w:r>
      <w:r>
        <w:rPr>
          <w:lang w:val="en-GB"/>
        </w:rPr>
        <w:fldChar w:fldCharType="separate"/>
      </w:r>
      <w:r w:rsidR="00ED3C62">
        <w:rPr>
          <w:lang w:val="en-GB"/>
        </w:rPr>
        <w:t>[1]</w:t>
      </w:r>
      <w:r>
        <w:rPr>
          <w:lang w:val="en-GB"/>
        </w:rPr>
        <w:fldChar w:fldCharType="end"/>
      </w:r>
      <w:r>
        <w:rPr>
          <w:lang w:val="en-GB"/>
        </w:rPr>
        <w:t>.</w:t>
      </w:r>
    </w:p>
    <w:p w14:paraId="5B3C199F" w14:textId="5C7C1033" w:rsidR="00D501A7" w:rsidRDefault="00230D18" w:rsidP="00903CB4">
      <w:pPr>
        <w:pStyle w:val="Heading1"/>
      </w:pPr>
      <w:bookmarkStart w:id="0" w:name="_Ref178064866"/>
      <w:r>
        <w:t>2</w:t>
      </w:r>
      <w:r>
        <w:tab/>
      </w:r>
      <w:bookmarkEnd w:id="0"/>
      <w:r w:rsidR="00903CB4">
        <w:t>General Comments</w:t>
      </w:r>
    </w:p>
    <w:p w14:paraId="1AAE9E14" w14:textId="1D732D12" w:rsidR="00903CB4" w:rsidRDefault="00903CB4" w:rsidP="00F71AA5">
      <w:pPr>
        <w:pStyle w:val="Heading2"/>
      </w:pPr>
      <w:r>
        <w:t>2.</w:t>
      </w:r>
      <w:r w:rsidR="00F8114B">
        <w:t>1</w:t>
      </w:r>
      <w:r>
        <w:tab/>
        <w:t>Prerequisite Feature Groups</w:t>
      </w:r>
    </w:p>
    <w:p w14:paraId="3A37D445" w14:textId="0CA54778" w:rsidR="00B112BF" w:rsidRDefault="0092390E" w:rsidP="003A30C0">
      <w:pPr>
        <w:spacing w:line="240" w:lineRule="auto"/>
        <w:jc w:val="both"/>
        <w:rPr>
          <w:rFonts w:ascii="Arial" w:eastAsia="MS Mincho" w:hAnsi="Arial" w:cs="Arial"/>
        </w:rPr>
      </w:pPr>
      <w:r>
        <w:rPr>
          <w:rFonts w:ascii="Arial" w:eastAsia="MS Mincho" w:hAnsi="Arial" w:cs="Arial"/>
        </w:rPr>
        <w:t>As a gener</w:t>
      </w:r>
      <w:r w:rsidR="006D1D25">
        <w:rPr>
          <w:rFonts w:ascii="Arial" w:eastAsia="MS Mincho" w:hAnsi="Arial" w:cs="Arial"/>
        </w:rPr>
        <w:t>al principle</w:t>
      </w:r>
      <w:r w:rsidR="00F804B2" w:rsidRPr="003A30C0">
        <w:rPr>
          <w:rFonts w:ascii="Arial" w:eastAsia="MS Mincho" w:hAnsi="Arial" w:cs="Arial"/>
        </w:rPr>
        <w:t xml:space="preserve">, feature group A should be listed as a pre-requisite for feature group B only if feature group B cannot </w:t>
      </w:r>
      <w:r w:rsidR="00F804B2" w:rsidRPr="003A30C0">
        <w:rPr>
          <w:rFonts w:ascii="Arial" w:eastAsia="MS Mincho" w:hAnsi="Arial" w:cs="Arial"/>
          <w:i/>
          <w:iCs/>
        </w:rPr>
        <w:t>functionally</w:t>
      </w:r>
      <w:r w:rsidR="00F804B2" w:rsidRPr="003A30C0">
        <w:rPr>
          <w:rFonts w:ascii="Arial" w:eastAsia="MS Mincho" w:hAnsi="Arial" w:cs="Arial"/>
        </w:rPr>
        <w:t xml:space="preserve"> operate without feature group A</w:t>
      </w:r>
      <w:r>
        <w:rPr>
          <w:rFonts w:ascii="Arial" w:eastAsia="MS Mincho" w:hAnsi="Arial" w:cs="Arial"/>
        </w:rPr>
        <w:t>.</w:t>
      </w:r>
      <w:r w:rsidR="00B112BF">
        <w:rPr>
          <w:rFonts w:ascii="Arial" w:eastAsia="MS Mincho" w:hAnsi="Arial" w:cs="Arial"/>
        </w:rPr>
        <w:t xml:space="preserve"> Hence, in order to apply this principle, it is first necessary to have stable, clear definitions for each feature group before deciding which FG is a pre-requisite for another. For example, FG 24-2 (120 kHz standalone support) does not strictly require multi-RB PUCCH and long sequence PRACH listed as components of FG 24-1, so it is not clear that 24-1 should be a pre-requisite for 24-2 given the current definition of 24-1. The components of 24-1 should be discussed first.</w:t>
      </w:r>
    </w:p>
    <w:p w14:paraId="73108C8E" w14:textId="77777777" w:rsidR="00B112BF" w:rsidRDefault="00B112BF" w:rsidP="006D1D25">
      <w:pPr>
        <w:spacing w:line="240" w:lineRule="auto"/>
        <w:jc w:val="both"/>
        <w:rPr>
          <w:rFonts w:ascii="Arial" w:eastAsia="MS Mincho" w:hAnsi="Arial" w:cs="Arial"/>
        </w:rPr>
      </w:pPr>
      <w:r>
        <w:rPr>
          <w:rFonts w:ascii="Arial" w:eastAsia="MS Mincho" w:hAnsi="Arial" w:cs="Arial"/>
        </w:rPr>
        <w:t>Based on this we propose:</w:t>
      </w:r>
    </w:p>
    <w:p w14:paraId="7F728BC4" w14:textId="7D93E342" w:rsidR="00B112BF" w:rsidRDefault="00B112BF" w:rsidP="00B112BF">
      <w:pPr>
        <w:pStyle w:val="Proposal"/>
      </w:pPr>
      <w:bookmarkStart w:id="1" w:name="_Toc87034668"/>
      <w:r>
        <w:t xml:space="preserve">Defer discussion on which FGs should be pre-requisites of other FGs until there are stable, clear definitions for each FG with agreements on which components should be included. For now, the pre-requisite column of the UE features table should be left </w:t>
      </w:r>
      <w:r w:rsidR="006F2AD3">
        <w:t>as FFS to</w:t>
      </w:r>
      <w:r>
        <w:t xml:space="preserve"> avoid complicating the UE feature discussion.</w:t>
      </w:r>
      <w:bookmarkEnd w:id="1"/>
      <w:r>
        <w:t xml:space="preserve"> </w:t>
      </w:r>
    </w:p>
    <w:p w14:paraId="18DF3F4F" w14:textId="0B56C78E" w:rsidR="00B112BF" w:rsidRDefault="00B112BF" w:rsidP="00B112BF">
      <w:pPr>
        <w:pStyle w:val="Heading2"/>
      </w:pPr>
      <w:r>
        <w:t>2.2</w:t>
      </w:r>
      <w:r>
        <w:tab/>
        <w:t>Signaling Granularity</w:t>
      </w:r>
      <w:r w:rsidR="00AB215C">
        <w:t xml:space="preserve"> and </w:t>
      </w:r>
      <w:r w:rsidR="00860F22">
        <w:t>Optional/Mandatory Support</w:t>
      </w:r>
    </w:p>
    <w:p w14:paraId="06405F44" w14:textId="09C199B7" w:rsidR="00B112BF" w:rsidRDefault="00B112BF" w:rsidP="00B112BF">
      <w:pPr>
        <w:jc w:val="both"/>
        <w:rPr>
          <w:rFonts w:ascii="Arial" w:eastAsia="MS Mincho" w:hAnsi="Arial" w:cs="Arial"/>
        </w:rPr>
      </w:pPr>
      <w:r w:rsidRPr="00B112BF">
        <w:rPr>
          <w:rFonts w:ascii="Arial" w:eastAsia="MS Mincho" w:hAnsi="Arial" w:cs="Arial"/>
        </w:rPr>
        <w:t>The</w:t>
      </w:r>
      <w:r>
        <w:rPr>
          <w:rFonts w:ascii="Arial" w:eastAsia="MS Mincho" w:hAnsi="Arial" w:cs="Arial"/>
        </w:rPr>
        <w:t xml:space="preserve"> first priority is to focus on defining clear descriptions of each feature group and agree on which components should be included. After that, then the signaling granularity (per UE, per band, etc.)</w:t>
      </w:r>
      <w:r w:rsidR="00AB215C">
        <w:rPr>
          <w:rFonts w:ascii="Arial" w:eastAsia="MS Mincho" w:hAnsi="Arial" w:cs="Arial"/>
        </w:rPr>
        <w:t xml:space="preserve"> and the optionality</w:t>
      </w:r>
      <w:r>
        <w:rPr>
          <w:rFonts w:ascii="Arial" w:eastAsia="MS Mincho" w:hAnsi="Arial" w:cs="Arial"/>
        </w:rPr>
        <w:t xml:space="preserve"> can be </w:t>
      </w:r>
      <w:r w:rsidR="00133990">
        <w:rPr>
          <w:rFonts w:ascii="Arial" w:eastAsia="MS Mincho" w:hAnsi="Arial" w:cs="Arial"/>
        </w:rPr>
        <w:t xml:space="preserve">decided. </w:t>
      </w:r>
      <w:r>
        <w:rPr>
          <w:rFonts w:ascii="Arial" w:eastAsia="MS Mincho" w:hAnsi="Arial" w:cs="Arial"/>
        </w:rPr>
        <w:t xml:space="preserve">In our view, unless there is a strong motivation to define the signaling granularity other than per-UE, the starting point is that a feature should be per-UE. </w:t>
      </w:r>
      <w:r w:rsidR="00133990">
        <w:rPr>
          <w:rFonts w:ascii="Arial" w:eastAsia="MS Mincho" w:hAnsi="Arial" w:cs="Arial"/>
        </w:rPr>
        <w:t>As agreed in RAN, discussions on whether or not there is a need to differentiate between FR2-1 and FR2-2 is handled on a case-by-case (i.e., per FG) basis.</w:t>
      </w:r>
    </w:p>
    <w:p w14:paraId="5D156296" w14:textId="5A03663D" w:rsidR="00AB215C" w:rsidRPr="00AB215C" w:rsidRDefault="00B112BF" w:rsidP="00AB215C">
      <w:pPr>
        <w:pStyle w:val="Proposal"/>
        <w:tabs>
          <w:tab w:val="clear" w:pos="1304"/>
          <w:tab w:val="clear" w:pos="1584"/>
          <w:tab w:val="clear" w:pos="1701"/>
        </w:tabs>
        <w:ind w:left="1584" w:hanging="1584"/>
        <w:rPr>
          <w:rFonts w:eastAsia="MS Mincho" w:cs="Arial"/>
          <w:lang w:eastAsia="en-US"/>
        </w:rPr>
      </w:pPr>
      <w:bookmarkStart w:id="2" w:name="_Ref83902249"/>
      <w:bookmarkStart w:id="3" w:name="_Toc87034669"/>
      <w:r>
        <w:rPr>
          <w:rFonts w:eastAsia="MS Mincho" w:cs="Arial"/>
        </w:rPr>
        <w:lastRenderedPageBreak/>
        <w:t>Defer discussion on signaling type (Per UE, Per Band, etc.)</w:t>
      </w:r>
      <w:r w:rsidR="00860F22">
        <w:rPr>
          <w:rFonts w:eastAsia="MS Mincho" w:cs="Arial"/>
        </w:rPr>
        <w:t xml:space="preserve">, optional/mandatory support, </w:t>
      </w:r>
      <w:r>
        <w:rPr>
          <w:rFonts w:eastAsia="MS Mincho" w:cs="Arial"/>
        </w:rPr>
        <w:t xml:space="preserve">and potential FR2-1/2-2 differentiation </w:t>
      </w:r>
      <w:r>
        <w:t>until there are stable, clear definitions for each FG with agreements on which components should be included.</w:t>
      </w:r>
      <w:bookmarkEnd w:id="2"/>
      <w:bookmarkEnd w:id="3"/>
    </w:p>
    <w:p w14:paraId="3404B859" w14:textId="7E4F28AA" w:rsidR="00903CB4" w:rsidRDefault="00903CB4" w:rsidP="00DD65E2">
      <w:pPr>
        <w:pStyle w:val="Heading1"/>
        <w:jc w:val="both"/>
      </w:pPr>
      <w:r>
        <w:t>3</w:t>
      </w:r>
      <w:r>
        <w:tab/>
        <w:t>Specific Comments</w:t>
      </w:r>
    </w:p>
    <w:p w14:paraId="3DD7FD3D" w14:textId="24B8D3EC" w:rsidR="00903CB4" w:rsidRDefault="00903CB4" w:rsidP="00DD65E2">
      <w:pPr>
        <w:pStyle w:val="BodyText"/>
        <w:rPr>
          <w:lang w:val="en-GB"/>
        </w:rPr>
      </w:pPr>
      <w:r>
        <w:rPr>
          <w:lang w:val="en-GB"/>
        </w:rPr>
        <w:t>Here we provide specific comments on a per-FG basis.</w:t>
      </w:r>
    </w:p>
    <w:p w14:paraId="35A7020E" w14:textId="002386C7" w:rsidR="00D6446C" w:rsidRDefault="00D6446C">
      <w:pPr>
        <w:pStyle w:val="Heading2"/>
      </w:pPr>
      <w:r>
        <w:t xml:space="preserve">FG </w:t>
      </w:r>
      <w:r w:rsidR="00133990">
        <w:t>24-1</w:t>
      </w:r>
    </w:p>
    <w:p w14:paraId="26C1CFA2" w14:textId="70A85C30" w:rsidR="00A0079A" w:rsidRDefault="00A0079A" w:rsidP="00A0079A">
      <w:pPr>
        <w:pStyle w:val="BodyText"/>
        <w:rPr>
          <w:lang w:val="en-GB"/>
        </w:rPr>
      </w:pPr>
      <w:r>
        <w:rPr>
          <w:lang w:val="en-GB"/>
        </w:rPr>
        <w:t xml:space="preserve">In our view, it makes sense to define a basic </w:t>
      </w:r>
      <w:r w:rsidR="00467A73">
        <w:rPr>
          <w:lang w:val="en-GB"/>
        </w:rPr>
        <w:t>FG</w:t>
      </w:r>
      <w:r>
        <w:rPr>
          <w:lang w:val="en-GB"/>
        </w:rPr>
        <w:t xml:space="preserve"> for DL only operation</w:t>
      </w:r>
      <w:r w:rsidR="00467A73">
        <w:rPr>
          <w:lang w:val="en-GB"/>
        </w:rPr>
        <w:t xml:space="preserve"> in FR2-2</w:t>
      </w:r>
      <w:r w:rsidR="00AC74FC">
        <w:rPr>
          <w:lang w:val="en-GB"/>
        </w:rPr>
        <w:t xml:space="preserve"> for 120 kHz SCS</w:t>
      </w:r>
      <w:r>
        <w:rPr>
          <w:lang w:val="en-GB"/>
        </w:rPr>
        <w:t xml:space="preserve">, and then create </w:t>
      </w:r>
      <w:r w:rsidR="00467A73">
        <w:rPr>
          <w:lang w:val="en-GB"/>
        </w:rPr>
        <w:t>a separate basic FG for UL in FR2-2</w:t>
      </w:r>
      <w:r w:rsidR="00AC74FC">
        <w:rPr>
          <w:lang w:val="en-GB"/>
        </w:rPr>
        <w:t xml:space="preserve"> with 120 kHz SCS</w:t>
      </w:r>
      <w:r w:rsidR="00467A73">
        <w:rPr>
          <w:lang w:val="en-GB"/>
        </w:rPr>
        <w:t>. Since the UL can be operated without multi-RB PUCCH</w:t>
      </w:r>
      <w:r w:rsidR="00AC74FC">
        <w:rPr>
          <w:lang w:val="en-GB"/>
        </w:rPr>
        <w:t>,</w:t>
      </w:r>
      <w:r w:rsidR="00467A73">
        <w:rPr>
          <w:lang w:val="en-GB"/>
        </w:rPr>
        <w:t xml:space="preserve"> long-sequence PRACH, </w:t>
      </w:r>
      <w:r w:rsidR="00AC74FC">
        <w:rPr>
          <w:lang w:val="en-GB"/>
        </w:rPr>
        <w:t>or</w:t>
      </w:r>
      <w:r w:rsidR="00467A73">
        <w:rPr>
          <w:lang w:val="en-GB"/>
        </w:rPr>
        <w:t xml:space="preserve"> multi-RB PUSCH, these should be separate FG</w:t>
      </w:r>
      <w:r w:rsidR="00AC74FC">
        <w:rPr>
          <w:lang w:val="en-GB"/>
        </w:rPr>
        <w:t>s.</w:t>
      </w:r>
    </w:p>
    <w:p w14:paraId="70062CC8" w14:textId="4C9C718D" w:rsidR="00A0079A" w:rsidRDefault="00A0079A" w:rsidP="00863C52">
      <w:pPr>
        <w:pStyle w:val="Proposal"/>
        <w:spacing w:after="0"/>
        <w:ind w:left="1310" w:hanging="1310"/>
        <w:rPr>
          <w:lang w:val="en-GB"/>
        </w:rPr>
      </w:pPr>
      <w:bookmarkStart w:id="4" w:name="_Toc87034670"/>
      <w:r>
        <w:rPr>
          <w:lang w:val="en-GB"/>
        </w:rPr>
        <w:t xml:space="preserve">FG 24-1 should </w:t>
      </w:r>
      <w:r w:rsidR="00467A73">
        <w:rPr>
          <w:lang w:val="en-GB"/>
        </w:rPr>
        <w:t>be a basic feature group for DL only operation with 120 kHz SCS. It only needs to contain C</w:t>
      </w:r>
      <w:r>
        <w:rPr>
          <w:lang w:val="en-GB"/>
        </w:rPr>
        <w:t>omponent #1</w:t>
      </w:r>
      <w:r w:rsidR="00467A73">
        <w:rPr>
          <w:lang w:val="en-GB"/>
        </w:rPr>
        <w:t xml:space="preserve"> and #4.</w:t>
      </w:r>
      <w:bookmarkEnd w:id="4"/>
    </w:p>
    <w:p w14:paraId="513048B9" w14:textId="1A407461" w:rsidR="00467A73" w:rsidRDefault="00467A73" w:rsidP="00863C52">
      <w:pPr>
        <w:pStyle w:val="Proposal"/>
        <w:spacing w:after="0"/>
        <w:ind w:left="1310" w:hanging="1310"/>
        <w:rPr>
          <w:lang w:val="en-GB"/>
        </w:rPr>
      </w:pPr>
      <w:bookmarkStart w:id="5" w:name="_Toc87034671"/>
      <w:r>
        <w:rPr>
          <w:lang w:val="en-GB"/>
        </w:rPr>
        <w:t>Create a separate feature group for basic UL operation for 120 kHz SCS. It only needs to contain a Component #5 and Component #3 only for length 139 PRACH.</w:t>
      </w:r>
      <w:bookmarkEnd w:id="5"/>
    </w:p>
    <w:p w14:paraId="21731AE2" w14:textId="0AC5F9FF" w:rsidR="00467A73" w:rsidRDefault="00467A73" w:rsidP="00863C52">
      <w:pPr>
        <w:pStyle w:val="Proposal"/>
        <w:spacing w:after="0"/>
        <w:ind w:left="1310" w:hanging="1310"/>
        <w:rPr>
          <w:lang w:val="en-GB"/>
        </w:rPr>
      </w:pPr>
      <w:bookmarkStart w:id="6" w:name="_Toc87034672"/>
      <w:r>
        <w:rPr>
          <w:lang w:val="en-GB"/>
        </w:rPr>
        <w:t>Create separate FGs for the following: multi-RB PF0/1/4, long sequence (571/1151) PRACH, multi-PDSCH scheduling, multi-PUSCH scheduling</w:t>
      </w:r>
      <w:bookmarkEnd w:id="6"/>
    </w:p>
    <w:p w14:paraId="5962A1DF" w14:textId="7E8A4E17" w:rsidR="001C4E0E" w:rsidRDefault="001C4E0E" w:rsidP="00DD65E2">
      <w:pPr>
        <w:pStyle w:val="Heading2"/>
        <w:jc w:val="both"/>
      </w:pPr>
      <w:r>
        <w:t xml:space="preserve">FG </w:t>
      </w:r>
      <w:r w:rsidR="00133990">
        <w:t>24-</w:t>
      </w:r>
      <w:r w:rsidR="008F71F5">
        <w:t>4</w:t>
      </w:r>
      <w:r w:rsidR="00AC74FC">
        <w:t xml:space="preserve"> &amp; 24-5</w:t>
      </w:r>
    </w:p>
    <w:p w14:paraId="0593AE27" w14:textId="29792C98" w:rsidR="00AC74FC" w:rsidRDefault="00AC74FC" w:rsidP="00DD65E2">
      <w:pPr>
        <w:jc w:val="both"/>
        <w:rPr>
          <w:rFonts w:ascii="Arial" w:hAnsi="Arial" w:cs="Arial"/>
          <w:lang w:val="en-GB"/>
        </w:rPr>
      </w:pPr>
      <w:r w:rsidRPr="00AC74FC">
        <w:rPr>
          <w:rFonts w:ascii="Arial" w:hAnsi="Arial" w:cs="Arial"/>
          <w:noProof/>
          <w:lang w:val="en-GB"/>
        </w:rPr>
        <mc:AlternateContent>
          <mc:Choice Requires="wps">
            <w:drawing>
              <wp:anchor distT="45720" distB="45720" distL="114300" distR="114300" simplePos="0" relativeHeight="251659264" behindDoc="0" locked="0" layoutInCell="1" allowOverlap="1" wp14:anchorId="38691935" wp14:editId="07794AA2">
                <wp:simplePos x="0" y="0"/>
                <wp:positionH relativeFrom="margin">
                  <wp:align>right</wp:align>
                </wp:positionH>
                <wp:positionV relativeFrom="paragraph">
                  <wp:posOffset>284811</wp:posOffset>
                </wp:positionV>
                <wp:extent cx="5713095" cy="979805"/>
                <wp:effectExtent l="0" t="0" r="20955" b="1079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979805"/>
                        </a:xfrm>
                        <a:prstGeom prst="rect">
                          <a:avLst/>
                        </a:prstGeom>
                        <a:solidFill>
                          <a:srgbClr val="FFFFFF"/>
                        </a:solidFill>
                        <a:ln w="9525">
                          <a:solidFill>
                            <a:srgbClr val="000000"/>
                          </a:solidFill>
                          <a:miter lim="800000"/>
                          <a:headEnd/>
                          <a:tailEnd/>
                        </a:ln>
                      </wps:spPr>
                      <wps:txbx>
                        <w:txbxContent>
                          <w:p w14:paraId="6D2A6261" w14:textId="7EFCF0BF" w:rsidR="00AC74FC" w:rsidRPr="00AC74FC" w:rsidRDefault="00AC74FC" w:rsidP="00AC74FC">
                            <w:pPr>
                              <w:keepNext/>
                              <w:keepLines/>
                              <w:spacing w:after="0" w:line="240" w:lineRule="auto"/>
                              <w:rPr>
                                <w:rFonts w:ascii="Arial" w:eastAsia="SimSun" w:hAnsi="Arial" w:cs="Arial"/>
                                <w:color w:val="000000"/>
                                <w:sz w:val="18"/>
                                <w:szCs w:val="18"/>
                                <w:lang w:val="en-GB"/>
                              </w:rPr>
                            </w:pPr>
                            <w:r w:rsidRPr="00AC74FC">
                              <w:rPr>
                                <w:rFonts w:ascii="Arial" w:eastAsia="SimSun" w:hAnsi="Arial" w:cs="Arial"/>
                                <w:color w:val="000000"/>
                                <w:sz w:val="18"/>
                                <w:szCs w:val="18"/>
                                <w:lang w:val="en-GB"/>
                              </w:rPr>
                              <w:t>Note:</w:t>
                            </w:r>
                          </w:p>
                          <w:p w14:paraId="0E0D13B6" w14:textId="77777777" w:rsidR="00AC74FC" w:rsidRPr="00AC74FC" w:rsidRDefault="00AC74FC" w:rsidP="00AC74FC">
                            <w:pPr>
                              <w:keepNext/>
                              <w:keepLines/>
                              <w:spacing w:after="0" w:line="240" w:lineRule="auto"/>
                              <w:rPr>
                                <w:rFonts w:ascii="Arial" w:eastAsia="SimSun" w:hAnsi="Arial" w:cs="Arial"/>
                                <w:color w:val="000000"/>
                                <w:sz w:val="18"/>
                                <w:szCs w:val="18"/>
                                <w:lang w:val="en-GB"/>
                              </w:rPr>
                            </w:pPr>
                            <w:r w:rsidRPr="00AC74FC">
                              <w:rPr>
                                <w:rFonts w:ascii="Arial" w:eastAsia="SimSun" w:hAnsi="Arial" w:cs="Arial"/>
                                <w:color w:val="000000"/>
                                <w:sz w:val="18"/>
                                <w:szCs w:val="18"/>
                                <w:lang w:val="en-GB"/>
                              </w:rPr>
                              <w:t>• Resolve the issues of wideband PRACH, multi-RB PUCCH format 0/1/4, and multi-PUSCH/PDSCH scheduling by single DCI, i.e., whether to have components of a single FG or separate FGs, for 120 kHz first, then use the same structure for 480 kHz</w:t>
                            </w:r>
                          </w:p>
                          <w:p w14:paraId="26B9D2F5" w14:textId="77777777" w:rsidR="00AC74FC" w:rsidRPr="00AC74FC" w:rsidRDefault="00AC74FC" w:rsidP="00AC74FC">
                            <w:pPr>
                              <w:jc w:val="both"/>
                              <w:rPr>
                                <w:rFonts w:ascii="Arial" w:hAnsi="Arial" w:cs="Arial"/>
                                <w:sz w:val="18"/>
                                <w:szCs w:val="18"/>
                                <w:lang w:val="en-GB"/>
                              </w:rPr>
                            </w:pPr>
                            <w:r w:rsidRPr="00AC74FC">
                              <w:rPr>
                                <w:rFonts w:ascii="Arial" w:eastAsia="MS Gothic" w:hAnsi="Arial" w:cs="Arial"/>
                                <w:color w:val="000000"/>
                                <w:sz w:val="18"/>
                                <w:szCs w:val="18"/>
                                <w:lang w:val="en-GB" w:eastAsia="ja-JP"/>
                              </w:rPr>
                              <w:t>• Resolve the issue of having separate capabilities for DL and UL (data and control channels as well as reference signals) for 120 kHz first, then use the same structure for 480 kHz</w:t>
                            </w:r>
                          </w:p>
                          <w:p w14:paraId="4D26E607" w14:textId="7018B5A2" w:rsidR="00AC74FC" w:rsidRDefault="00AC74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691935" id="_x0000_t202" coordsize="21600,21600" o:spt="202" path="m,l,21600r21600,l21600,xe">
                <v:stroke joinstyle="miter"/>
                <v:path gradientshapeok="t" o:connecttype="rect"/>
              </v:shapetype>
              <v:shape id="Text Box 2" o:spid="_x0000_s1026" type="#_x0000_t202" style="position:absolute;left:0;text-align:left;margin-left:398.65pt;margin-top:22.45pt;width:449.85pt;height:77.1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">
                <v:textbox>
                  <w:txbxContent>
                    <w:p w14:paraId="6D2A6261" w14:textId="7EFCF0BF" w:rsidR="00AC74FC" w:rsidRPr="00AC74FC" w:rsidRDefault="00AC74FC" w:rsidP="00AC74FC">
                      <w:pPr>
                        <w:keepNext/>
                        <w:keepLines/>
                        <w:spacing w:after="0" w:line="240" w:lineRule="auto"/>
                        <w:rPr>
                          <w:rFonts w:ascii="Arial" w:eastAsia="SimSun" w:hAnsi="Arial" w:cs="Arial"/>
                          <w:color w:val="000000"/>
                          <w:sz w:val="18"/>
                          <w:szCs w:val="18"/>
                          <w:lang w:val="en-GB"/>
                        </w:rPr>
                      </w:pPr>
                      <w:r w:rsidRPr="00AC74FC">
                        <w:rPr>
                          <w:rFonts w:ascii="Arial" w:eastAsia="SimSun" w:hAnsi="Arial" w:cs="Arial"/>
                          <w:color w:val="000000"/>
                          <w:sz w:val="18"/>
                          <w:szCs w:val="18"/>
                          <w:lang w:val="en-GB"/>
                        </w:rPr>
                        <w:t>Note:</w:t>
                      </w:r>
                    </w:p>
                    <w:p w14:paraId="0E0D13B6" w14:textId="77777777" w:rsidR="00AC74FC" w:rsidRPr="00AC74FC" w:rsidRDefault="00AC74FC" w:rsidP="00AC74FC">
                      <w:pPr>
                        <w:keepNext/>
                        <w:keepLines/>
                        <w:spacing w:after="0" w:line="240" w:lineRule="auto"/>
                        <w:rPr>
                          <w:rFonts w:ascii="Arial" w:eastAsia="SimSun" w:hAnsi="Arial" w:cs="Arial"/>
                          <w:color w:val="000000"/>
                          <w:sz w:val="18"/>
                          <w:szCs w:val="18"/>
                          <w:lang w:val="en-GB"/>
                        </w:rPr>
                      </w:pPr>
                      <w:r w:rsidRPr="00AC74FC">
                        <w:rPr>
                          <w:rFonts w:ascii="Arial" w:eastAsia="SimSun" w:hAnsi="Arial" w:cs="Arial"/>
                          <w:color w:val="000000"/>
                          <w:sz w:val="18"/>
                          <w:szCs w:val="18"/>
                          <w:lang w:val="en-GB"/>
                        </w:rPr>
                        <w:t>• Resolve the issues of wideband PRACH, multi-RB PUCCH format 0/1/4, and multi-PUSCH/PDSCH scheduling by single DCI, i.e., whether to have components of a single FG or separate FGs, for 120 kHz first, then use the same structure for 480 kHz</w:t>
                      </w:r>
                    </w:p>
                    <w:p w14:paraId="26B9D2F5" w14:textId="77777777" w:rsidR="00AC74FC" w:rsidRPr="00AC74FC" w:rsidRDefault="00AC74FC" w:rsidP="00AC74FC">
                      <w:pPr>
                        <w:jc w:val="both"/>
                        <w:rPr>
                          <w:rFonts w:ascii="Arial" w:hAnsi="Arial" w:cs="Arial"/>
                          <w:sz w:val="18"/>
                          <w:szCs w:val="18"/>
                          <w:lang w:val="en-GB"/>
                        </w:rPr>
                      </w:pPr>
                      <w:r w:rsidRPr="00AC74FC">
                        <w:rPr>
                          <w:rFonts w:ascii="Arial" w:eastAsia="MS Gothic" w:hAnsi="Arial" w:cs="Arial"/>
                          <w:color w:val="000000"/>
                          <w:sz w:val="18"/>
                          <w:szCs w:val="18"/>
                          <w:lang w:val="en-GB" w:eastAsia="ja-JP"/>
                        </w:rPr>
                        <w:t>• Resolve the issue of having separate capabilities for DL and UL (data and control channels as well as reference signals) for 120 kHz first, then use the same structure for 480 kHz</w:t>
                      </w:r>
                    </w:p>
                    <w:p w14:paraId="4D26E607" w14:textId="7018B5A2" w:rsidR="00AC74FC" w:rsidRDefault="00AC74FC"/>
                  </w:txbxContent>
                </v:textbox>
                <w10:wrap type="topAndBottom" anchorx="margin"/>
              </v:shape>
            </w:pict>
          </mc:Fallback>
        </mc:AlternateContent>
      </w:r>
      <w:r>
        <w:rPr>
          <w:rFonts w:ascii="Arial" w:hAnsi="Arial" w:cs="Arial"/>
          <w:lang w:val="en-GB"/>
        </w:rPr>
        <w:t>We agree with the following text that was added in the Note column for FG 24-4 and 24-5:</w:t>
      </w:r>
    </w:p>
    <w:p w14:paraId="6A809909" w14:textId="76D553C5" w:rsidR="00AC74FC" w:rsidRDefault="00AC74FC" w:rsidP="00DD65E2">
      <w:pPr>
        <w:jc w:val="both"/>
        <w:rPr>
          <w:rFonts w:ascii="Arial" w:hAnsi="Arial" w:cs="Arial"/>
          <w:lang w:val="en-GB"/>
        </w:rPr>
      </w:pPr>
      <w:r>
        <w:rPr>
          <w:rFonts w:ascii="Arial" w:hAnsi="Arial" w:cs="Arial"/>
          <w:lang w:val="en-GB"/>
        </w:rPr>
        <w:t>We think that with the split proposed for FG 24-1 as proposed above, the same structure can be followed for 480 and 960 kHz SCS.</w:t>
      </w:r>
    </w:p>
    <w:p w14:paraId="70FB9F6E" w14:textId="71AD0610" w:rsidR="00AC74FC" w:rsidRDefault="00AC74FC" w:rsidP="00AC74FC">
      <w:pPr>
        <w:pStyle w:val="Proposal"/>
        <w:rPr>
          <w:lang w:val="en-GB"/>
        </w:rPr>
      </w:pPr>
      <w:bookmarkStart w:id="7" w:name="_Toc87034673"/>
      <w:r>
        <w:rPr>
          <w:lang w:val="en-GB"/>
        </w:rPr>
        <w:t>For 480 and 960 kHz SCS support, follow the same split of FGs as proposed above for 120 kHz</w:t>
      </w:r>
      <w:r w:rsidR="00ED3C62">
        <w:rPr>
          <w:lang w:val="en-GB"/>
        </w:rPr>
        <w:t>. The main difference is that multi-slot PDCCH monitoring must be a component of 480/960 kHz support (as agreed in RAN1).</w:t>
      </w:r>
      <w:bookmarkEnd w:id="7"/>
    </w:p>
    <w:p w14:paraId="02CDA287" w14:textId="77777777" w:rsidR="00950359" w:rsidRPr="003E7D43" w:rsidRDefault="00950359" w:rsidP="00950359">
      <w:pPr>
        <w:spacing w:after="0" w:line="240" w:lineRule="auto"/>
        <w:rPr>
          <w:rFonts w:ascii="Times" w:eastAsia="Batang" w:hAnsi="Times" w:cs="Times New Roman"/>
          <w:iCs/>
          <w:sz w:val="20"/>
          <w:szCs w:val="24"/>
        </w:rPr>
      </w:pPr>
    </w:p>
    <w:p w14:paraId="43850542" w14:textId="77777777" w:rsidR="00C01F33" w:rsidRPr="00CE0424" w:rsidRDefault="00C01F33" w:rsidP="00CE0424">
      <w:pPr>
        <w:pStyle w:val="Heading1"/>
      </w:pPr>
      <w:r w:rsidRPr="00CE0424">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05F5712" w14:textId="7DE70E94" w:rsidR="00A961B5" w:rsidRDefault="006E1C82">
      <w:pPr>
        <w:pStyle w:val="TableofFigures"/>
        <w:tabs>
          <w:tab w:val="right" w:leader="dot" w:pos="9016"/>
        </w:tabs>
        <w:rPr>
          <w:rFonts w:asciiTheme="minorHAnsi" w:eastAsiaTheme="minorEastAsia" w:hAnsiTheme="minorHAnsi"/>
          <w:b w:val="0"/>
          <w:noProof/>
          <w:lang w:eastAsia="en-US"/>
        </w:rPr>
      </w:pPr>
      <w:r>
        <w:rPr>
          <w:b w:val="0"/>
          <w:bCs/>
        </w:rPr>
        <w:fldChar w:fldCharType="begin"/>
      </w:r>
      <w:r>
        <w:rPr>
          <w:bCs/>
        </w:rPr>
        <w:instrText xml:space="preserve"> TOC \n \h \z \t "Proposal" \c </w:instrText>
      </w:r>
      <w:r>
        <w:rPr>
          <w:b w:val="0"/>
          <w:bCs/>
        </w:rPr>
        <w:fldChar w:fldCharType="separate"/>
      </w:r>
      <w:hyperlink w:anchor="_Toc87034668" w:history="1">
        <w:r w:rsidR="00A961B5" w:rsidRPr="008A0171">
          <w:rPr>
            <w:rStyle w:val="Hyperlink"/>
            <w:noProof/>
          </w:rPr>
          <w:t>Proposal 1</w:t>
        </w:r>
        <w:r w:rsidR="00A961B5">
          <w:rPr>
            <w:rFonts w:asciiTheme="minorHAnsi" w:eastAsiaTheme="minorEastAsia" w:hAnsiTheme="minorHAnsi"/>
            <w:b w:val="0"/>
            <w:noProof/>
            <w:lang w:eastAsia="en-US"/>
          </w:rPr>
          <w:tab/>
        </w:r>
        <w:r w:rsidR="00A961B5" w:rsidRPr="008A0171">
          <w:rPr>
            <w:rStyle w:val="Hyperlink"/>
            <w:noProof/>
          </w:rPr>
          <w:t>Defer discussion on which FGs should be pre-requisites of other FGs until there are stable, clear definitions for each FG with agreements on which components should be included. For now, the pre-requisite column of the UE features table should be left as FFS to avoid complicating the UE feature discussion.</w:t>
        </w:r>
      </w:hyperlink>
    </w:p>
    <w:p w14:paraId="749C33BD" w14:textId="10649E7C" w:rsidR="00A961B5" w:rsidRDefault="0076237D">
      <w:pPr>
        <w:pStyle w:val="TableofFigures"/>
        <w:tabs>
          <w:tab w:val="right" w:leader="dot" w:pos="9016"/>
        </w:tabs>
        <w:rPr>
          <w:rFonts w:asciiTheme="minorHAnsi" w:eastAsiaTheme="minorEastAsia" w:hAnsiTheme="minorHAnsi"/>
          <w:b w:val="0"/>
          <w:noProof/>
          <w:lang w:eastAsia="en-US"/>
        </w:rPr>
      </w:pPr>
      <w:hyperlink w:anchor="_Toc87034669" w:history="1">
        <w:r w:rsidR="00A961B5" w:rsidRPr="008A0171">
          <w:rPr>
            <w:rStyle w:val="Hyperlink"/>
            <w:rFonts w:eastAsia="MS Mincho" w:cs="Arial"/>
            <w:noProof/>
            <w:lang w:eastAsia="en-US"/>
          </w:rPr>
          <w:t>Proposal 2</w:t>
        </w:r>
        <w:r w:rsidR="00A961B5">
          <w:rPr>
            <w:rFonts w:asciiTheme="minorHAnsi" w:eastAsiaTheme="minorEastAsia" w:hAnsiTheme="minorHAnsi"/>
            <w:b w:val="0"/>
            <w:noProof/>
            <w:lang w:eastAsia="en-US"/>
          </w:rPr>
          <w:tab/>
        </w:r>
        <w:r w:rsidR="00A961B5" w:rsidRPr="008A0171">
          <w:rPr>
            <w:rStyle w:val="Hyperlink"/>
            <w:rFonts w:eastAsia="MS Mincho" w:cs="Arial"/>
            <w:noProof/>
          </w:rPr>
          <w:t xml:space="preserve">Defer discussion on signaling type (Per UE, Per Band, etc.), optional/mandatory support, and potential FR2-1/2-2 differentiation </w:t>
        </w:r>
        <w:r w:rsidR="00A961B5" w:rsidRPr="008A0171">
          <w:rPr>
            <w:rStyle w:val="Hyperlink"/>
            <w:noProof/>
          </w:rPr>
          <w:t>until there are stable, clear definitions for each FG with agreements on which components should be included.</w:t>
        </w:r>
      </w:hyperlink>
    </w:p>
    <w:p w14:paraId="2779D093" w14:textId="22E58716" w:rsidR="00A961B5" w:rsidRDefault="0076237D">
      <w:pPr>
        <w:pStyle w:val="TableofFigures"/>
        <w:tabs>
          <w:tab w:val="right" w:leader="dot" w:pos="9016"/>
        </w:tabs>
        <w:rPr>
          <w:rFonts w:asciiTheme="minorHAnsi" w:eastAsiaTheme="minorEastAsia" w:hAnsiTheme="minorHAnsi"/>
          <w:b w:val="0"/>
          <w:noProof/>
          <w:lang w:eastAsia="en-US"/>
        </w:rPr>
      </w:pPr>
      <w:hyperlink w:anchor="_Toc87034670" w:history="1">
        <w:r w:rsidR="00A961B5" w:rsidRPr="008A0171">
          <w:rPr>
            <w:rStyle w:val="Hyperlink"/>
            <w:noProof/>
            <w:lang w:val="en-GB"/>
          </w:rPr>
          <w:t>Proposal 3</w:t>
        </w:r>
        <w:r w:rsidR="00A961B5">
          <w:rPr>
            <w:rFonts w:asciiTheme="minorHAnsi" w:eastAsiaTheme="minorEastAsia" w:hAnsiTheme="minorHAnsi"/>
            <w:b w:val="0"/>
            <w:noProof/>
            <w:lang w:eastAsia="en-US"/>
          </w:rPr>
          <w:tab/>
        </w:r>
        <w:r w:rsidR="00A961B5" w:rsidRPr="008A0171">
          <w:rPr>
            <w:rStyle w:val="Hyperlink"/>
            <w:noProof/>
            <w:lang w:val="en-GB"/>
          </w:rPr>
          <w:t>FG 24-1 should be a basic feature group for DL only operation with 120 kHz SCS. It only needs to contain Component #1 and #4.</w:t>
        </w:r>
      </w:hyperlink>
    </w:p>
    <w:p w14:paraId="07435512" w14:textId="68E03342" w:rsidR="00A961B5" w:rsidRDefault="0076237D">
      <w:pPr>
        <w:pStyle w:val="TableofFigures"/>
        <w:tabs>
          <w:tab w:val="right" w:leader="dot" w:pos="9016"/>
        </w:tabs>
        <w:rPr>
          <w:rFonts w:asciiTheme="minorHAnsi" w:eastAsiaTheme="minorEastAsia" w:hAnsiTheme="minorHAnsi"/>
          <w:b w:val="0"/>
          <w:noProof/>
          <w:lang w:eastAsia="en-US"/>
        </w:rPr>
      </w:pPr>
      <w:hyperlink w:anchor="_Toc87034671" w:history="1">
        <w:r w:rsidR="00A961B5" w:rsidRPr="008A0171">
          <w:rPr>
            <w:rStyle w:val="Hyperlink"/>
            <w:noProof/>
            <w:lang w:val="en-GB"/>
          </w:rPr>
          <w:t>Proposal 4</w:t>
        </w:r>
        <w:r w:rsidR="00A961B5">
          <w:rPr>
            <w:rFonts w:asciiTheme="minorHAnsi" w:eastAsiaTheme="minorEastAsia" w:hAnsiTheme="minorHAnsi"/>
            <w:b w:val="0"/>
            <w:noProof/>
            <w:lang w:eastAsia="en-US"/>
          </w:rPr>
          <w:tab/>
        </w:r>
        <w:r w:rsidR="00A961B5" w:rsidRPr="008A0171">
          <w:rPr>
            <w:rStyle w:val="Hyperlink"/>
            <w:noProof/>
            <w:lang w:val="en-GB"/>
          </w:rPr>
          <w:t>Create a separate feature group for basic UL operation for 120 kHz SCS. It only needs to contain a Component #5 and Component #3 only for length 139 PRACH.</w:t>
        </w:r>
      </w:hyperlink>
    </w:p>
    <w:p w14:paraId="3D2359D3" w14:textId="3E008E07" w:rsidR="00A961B5" w:rsidRDefault="0076237D">
      <w:pPr>
        <w:pStyle w:val="TableofFigures"/>
        <w:tabs>
          <w:tab w:val="right" w:leader="dot" w:pos="9016"/>
        </w:tabs>
        <w:rPr>
          <w:rFonts w:asciiTheme="minorHAnsi" w:eastAsiaTheme="minorEastAsia" w:hAnsiTheme="minorHAnsi"/>
          <w:b w:val="0"/>
          <w:noProof/>
          <w:lang w:eastAsia="en-US"/>
        </w:rPr>
      </w:pPr>
      <w:hyperlink w:anchor="_Toc87034672" w:history="1">
        <w:r w:rsidR="00A961B5" w:rsidRPr="008A0171">
          <w:rPr>
            <w:rStyle w:val="Hyperlink"/>
            <w:noProof/>
            <w:lang w:val="en-GB"/>
          </w:rPr>
          <w:t>Proposal 5</w:t>
        </w:r>
        <w:r w:rsidR="00A961B5">
          <w:rPr>
            <w:rFonts w:asciiTheme="minorHAnsi" w:eastAsiaTheme="minorEastAsia" w:hAnsiTheme="minorHAnsi"/>
            <w:b w:val="0"/>
            <w:noProof/>
            <w:lang w:eastAsia="en-US"/>
          </w:rPr>
          <w:tab/>
        </w:r>
        <w:r w:rsidR="00A961B5" w:rsidRPr="008A0171">
          <w:rPr>
            <w:rStyle w:val="Hyperlink"/>
            <w:noProof/>
            <w:lang w:val="en-GB"/>
          </w:rPr>
          <w:t>Create separate FGs for the following: multi-RB PF0/1/4, long sequence (571/1151) PRACH, multi-PDSCH scheduling, multi-PUSCH scheduling</w:t>
        </w:r>
      </w:hyperlink>
    </w:p>
    <w:p w14:paraId="1039B5AB" w14:textId="08CB0AB1" w:rsidR="00A961B5" w:rsidRDefault="0076237D">
      <w:pPr>
        <w:pStyle w:val="TableofFigures"/>
        <w:tabs>
          <w:tab w:val="right" w:leader="dot" w:pos="9016"/>
        </w:tabs>
        <w:rPr>
          <w:rFonts w:asciiTheme="minorHAnsi" w:eastAsiaTheme="minorEastAsia" w:hAnsiTheme="minorHAnsi"/>
          <w:b w:val="0"/>
          <w:noProof/>
          <w:lang w:eastAsia="en-US"/>
        </w:rPr>
      </w:pPr>
      <w:hyperlink w:anchor="_Toc87034673" w:history="1">
        <w:r w:rsidR="00A961B5" w:rsidRPr="008A0171">
          <w:rPr>
            <w:rStyle w:val="Hyperlink"/>
            <w:noProof/>
            <w:lang w:val="en-GB"/>
          </w:rPr>
          <w:t>Proposal 6</w:t>
        </w:r>
        <w:r w:rsidR="00A961B5">
          <w:rPr>
            <w:rFonts w:asciiTheme="minorHAnsi" w:eastAsiaTheme="minorEastAsia" w:hAnsiTheme="minorHAnsi"/>
            <w:b w:val="0"/>
            <w:noProof/>
            <w:lang w:eastAsia="en-US"/>
          </w:rPr>
          <w:tab/>
        </w:r>
        <w:r w:rsidR="00A961B5" w:rsidRPr="008A0171">
          <w:rPr>
            <w:rStyle w:val="Hyperlink"/>
            <w:noProof/>
            <w:lang w:val="en-GB"/>
          </w:rPr>
          <w:t>For 480 and 960 kHz SCS support, follow the same split of FGs as proposed above for 120 kHz. The main difference is that multi-slot PDCCH monitoring must be a component of 480/960 kHz support (as agreed in RAN1).</w:t>
        </w:r>
      </w:hyperlink>
    </w:p>
    <w:p w14:paraId="4AD2F895" w14:textId="10FB1593" w:rsidR="006E1C82" w:rsidRPr="00CE0424" w:rsidRDefault="006E1C82" w:rsidP="006E1C82">
      <w:pPr>
        <w:pStyle w:val="BodyText"/>
        <w:rPr>
          <w:b/>
          <w:bCs/>
        </w:rPr>
      </w:pPr>
      <w:r>
        <w:rPr>
          <w:b/>
          <w:bCs/>
        </w:rPr>
        <w:fldChar w:fldCharType="end"/>
      </w:r>
      <w:bookmarkStart w:id="8" w:name="_In-sequence_SDU_delivery"/>
      <w:bookmarkEnd w:id="8"/>
    </w:p>
    <w:p w14:paraId="0C652C29" w14:textId="77777777" w:rsidR="00F507D1" w:rsidRPr="00CE0424" w:rsidRDefault="00F507D1" w:rsidP="00CE0424">
      <w:pPr>
        <w:pStyle w:val="Heading1"/>
      </w:pPr>
      <w:r w:rsidRPr="00CE0424">
        <w:t>References</w:t>
      </w:r>
    </w:p>
    <w:p w14:paraId="5A2BEC41" w14:textId="6CE8762F" w:rsidR="00DB070A" w:rsidRDefault="0097028D" w:rsidP="00F8114B">
      <w:pPr>
        <w:pStyle w:val="Reference"/>
      </w:pPr>
      <w:bookmarkStart w:id="9" w:name="_Ref37169650"/>
      <w:r>
        <w:t>R1-</w:t>
      </w:r>
      <w:r w:rsidR="00E31A71">
        <w:t>21</w:t>
      </w:r>
      <w:r w:rsidR="00B2003D">
        <w:t>10587</w:t>
      </w:r>
      <w:r>
        <w:t>, “</w:t>
      </w:r>
      <w:r w:rsidR="00B2003D" w:rsidRPr="00224045">
        <w:rPr>
          <w:rFonts w:eastAsia="Malgun Gothic"/>
          <w:lang w:eastAsia="en-US"/>
        </w:rPr>
        <w:t>Updated RAN1 UE features list for Rel-17 NR after RAN1 #106bis-e</w:t>
      </w:r>
      <w:r>
        <w:t xml:space="preserve">” </w:t>
      </w:r>
      <w:r w:rsidR="00E31A71">
        <w:rPr>
          <w:rFonts w:eastAsia="Malgun Gothic"/>
          <w:lang w:eastAsia="en-US"/>
        </w:rPr>
        <w:t>AT&amp;T, N</w:t>
      </w:r>
      <w:r w:rsidR="00E31A71" w:rsidRPr="00E34C18">
        <w:rPr>
          <w:rFonts w:eastAsia="Malgun Gothic"/>
          <w:lang w:eastAsia="en-US"/>
        </w:rPr>
        <w:t>TT DOCOMO, INC.</w:t>
      </w:r>
      <w:r w:rsidR="00E31A71">
        <w:rPr>
          <w:rFonts w:eastAsia="Malgun Gothic"/>
          <w:lang w:eastAsia="en-US"/>
        </w:rPr>
        <w:t>,</w:t>
      </w:r>
      <w:r>
        <w:t xml:space="preserve"> RAN1#1</w:t>
      </w:r>
      <w:r w:rsidR="00E31A71">
        <w:t>06</w:t>
      </w:r>
      <w:r w:rsidR="00B2003D">
        <w:t>bis</w:t>
      </w:r>
      <w:r>
        <w:t xml:space="preserve">-e, </w:t>
      </w:r>
      <w:r w:rsidR="00B2003D">
        <w:t>October</w:t>
      </w:r>
      <w:r>
        <w:t xml:space="preserve"> 202</w:t>
      </w:r>
      <w:r w:rsidR="00E31A71">
        <w:t>1</w:t>
      </w:r>
      <w:bookmarkEnd w:id="9"/>
      <w:r w:rsidR="00ED3C62">
        <w:t>.</w:t>
      </w:r>
    </w:p>
    <w:sectPr w:rsidR="00DB070A" w:rsidSect="00F71AA5">
      <w:headerReference w:type="even" r:id="rId11"/>
      <w:footerReference w:type="default" r:id="rId12"/>
      <w:footnotePr>
        <w:numRestart w:val="eachSect"/>
      </w:footnotePr>
      <w:pgSz w:w="11906" w:h="16838"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777C1" w14:textId="77777777" w:rsidR="000C77B5" w:rsidRDefault="000C77B5">
      <w:r>
        <w:separator/>
      </w:r>
    </w:p>
  </w:endnote>
  <w:endnote w:type="continuationSeparator" w:id="0">
    <w:p w14:paraId="75DE5B03" w14:textId="77777777" w:rsidR="000C77B5" w:rsidRDefault="000C77B5">
      <w:r>
        <w:continuationSeparator/>
      </w:r>
    </w:p>
  </w:endnote>
  <w:endnote w:type="continuationNotice" w:id="1">
    <w:p w14:paraId="04FA09CB" w14:textId="77777777" w:rsidR="000C77B5" w:rsidRDefault="000C77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35682" w14:textId="77777777" w:rsidR="00897C05" w:rsidRDefault="00897C0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A12133" w14:textId="77777777" w:rsidR="000C77B5" w:rsidRDefault="000C77B5">
      <w:r>
        <w:separator/>
      </w:r>
    </w:p>
  </w:footnote>
  <w:footnote w:type="continuationSeparator" w:id="0">
    <w:p w14:paraId="764B5DDB" w14:textId="77777777" w:rsidR="000C77B5" w:rsidRDefault="000C77B5">
      <w:r>
        <w:continuationSeparator/>
      </w:r>
    </w:p>
  </w:footnote>
  <w:footnote w:type="continuationNotice" w:id="1">
    <w:p w14:paraId="31228BB9" w14:textId="77777777" w:rsidR="000C77B5" w:rsidRDefault="000C77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A4E89" w14:textId="77777777" w:rsidR="00897C05" w:rsidRDefault="00897C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ED6569"/>
    <w:multiLevelType w:val="hybridMultilevel"/>
    <w:tmpl w:val="5532E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2119F"/>
    <w:multiLevelType w:val="hybridMultilevel"/>
    <w:tmpl w:val="7B22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0"/>
  </w:num>
  <w:num w:numId="4">
    <w:abstractNumId w:val="9"/>
  </w:num>
  <w:num w:numId="5">
    <w:abstractNumId w:val="10"/>
  </w:num>
  <w:num w:numId="6">
    <w:abstractNumId w:val="11"/>
  </w:num>
  <w:num w:numId="7">
    <w:abstractNumId w:val="3"/>
  </w:num>
  <w:num w:numId="8">
    <w:abstractNumId w:val="4"/>
  </w:num>
  <w:num w:numId="9">
    <w:abstractNumId w:val="1"/>
  </w:num>
  <w:num w:numId="10">
    <w:abstractNumId w:val="13"/>
  </w:num>
  <w:num w:numId="11">
    <w:abstractNumId w:val="5"/>
  </w:num>
  <w:num w:numId="12">
    <w:abstractNumId w:val="12"/>
  </w:num>
  <w:num w:numId="13">
    <w:abstractNumId w:val="15"/>
  </w:num>
  <w:num w:numId="14">
    <w:abstractNumId w:val="14"/>
  </w:num>
  <w:num w:numId="15">
    <w:abstractNumId w:val="8"/>
  </w:num>
  <w:num w:numId="16">
    <w:abstractNumId w:val="6"/>
  </w:num>
  <w:num w:numId="17">
    <w:abstractNumId w:val="6"/>
  </w:num>
  <w:num w:numId="18">
    <w:abstractNumId w:val="6"/>
  </w:num>
  <w:num w:numId="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07FE1"/>
    <w:rsid w:val="00011B28"/>
    <w:rsid w:val="000145FB"/>
    <w:rsid w:val="00014DF8"/>
    <w:rsid w:val="00015D15"/>
    <w:rsid w:val="00022CF3"/>
    <w:rsid w:val="0002564D"/>
    <w:rsid w:val="00025ECA"/>
    <w:rsid w:val="00027CF6"/>
    <w:rsid w:val="0003144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362"/>
    <w:rsid w:val="000855EB"/>
    <w:rsid w:val="00085B52"/>
    <w:rsid w:val="000866F2"/>
    <w:rsid w:val="0009009F"/>
    <w:rsid w:val="00091557"/>
    <w:rsid w:val="000924C1"/>
    <w:rsid w:val="000924F0"/>
    <w:rsid w:val="00093474"/>
    <w:rsid w:val="0009510F"/>
    <w:rsid w:val="000A1B7B"/>
    <w:rsid w:val="000A56F2"/>
    <w:rsid w:val="000B2719"/>
    <w:rsid w:val="000B2F3A"/>
    <w:rsid w:val="000B3A8F"/>
    <w:rsid w:val="000B4AB9"/>
    <w:rsid w:val="000B58C3"/>
    <w:rsid w:val="000B61E9"/>
    <w:rsid w:val="000C165A"/>
    <w:rsid w:val="000C2E19"/>
    <w:rsid w:val="000C77B5"/>
    <w:rsid w:val="000D0D07"/>
    <w:rsid w:val="000D4797"/>
    <w:rsid w:val="000E0527"/>
    <w:rsid w:val="000E1E92"/>
    <w:rsid w:val="000E3014"/>
    <w:rsid w:val="000E3B03"/>
    <w:rsid w:val="000F06D6"/>
    <w:rsid w:val="000F0EB1"/>
    <w:rsid w:val="000F1106"/>
    <w:rsid w:val="000F3BE9"/>
    <w:rsid w:val="000F3F6C"/>
    <w:rsid w:val="000F6A78"/>
    <w:rsid w:val="000F6DF3"/>
    <w:rsid w:val="001005FF"/>
    <w:rsid w:val="00104E31"/>
    <w:rsid w:val="001062FB"/>
    <w:rsid w:val="001063E6"/>
    <w:rsid w:val="00106D0B"/>
    <w:rsid w:val="00113CF4"/>
    <w:rsid w:val="001153EA"/>
    <w:rsid w:val="00115643"/>
    <w:rsid w:val="00116765"/>
    <w:rsid w:val="001219F5"/>
    <w:rsid w:val="00121A20"/>
    <w:rsid w:val="0012377F"/>
    <w:rsid w:val="00124314"/>
    <w:rsid w:val="00126B4A"/>
    <w:rsid w:val="00132FD0"/>
    <w:rsid w:val="00133990"/>
    <w:rsid w:val="00134068"/>
    <w:rsid w:val="001344C0"/>
    <w:rsid w:val="001346FA"/>
    <w:rsid w:val="00135252"/>
    <w:rsid w:val="00137AB5"/>
    <w:rsid w:val="00137F0B"/>
    <w:rsid w:val="00150495"/>
    <w:rsid w:val="00151E23"/>
    <w:rsid w:val="001526E0"/>
    <w:rsid w:val="001551B5"/>
    <w:rsid w:val="00157557"/>
    <w:rsid w:val="00157983"/>
    <w:rsid w:val="0016021A"/>
    <w:rsid w:val="0016210E"/>
    <w:rsid w:val="001659C1"/>
    <w:rsid w:val="00173A8E"/>
    <w:rsid w:val="0017459C"/>
    <w:rsid w:val="0017502C"/>
    <w:rsid w:val="00177FA8"/>
    <w:rsid w:val="0018143F"/>
    <w:rsid w:val="00181FF8"/>
    <w:rsid w:val="00186E72"/>
    <w:rsid w:val="00190AC1"/>
    <w:rsid w:val="0019341A"/>
    <w:rsid w:val="00197DF9"/>
    <w:rsid w:val="001A1987"/>
    <w:rsid w:val="001A2564"/>
    <w:rsid w:val="001A4F0B"/>
    <w:rsid w:val="001A6173"/>
    <w:rsid w:val="001A6CBA"/>
    <w:rsid w:val="001B0D97"/>
    <w:rsid w:val="001B5A5D"/>
    <w:rsid w:val="001C1CE5"/>
    <w:rsid w:val="001C3D2A"/>
    <w:rsid w:val="001C4E0E"/>
    <w:rsid w:val="001D17C4"/>
    <w:rsid w:val="001D51BA"/>
    <w:rsid w:val="001D53E7"/>
    <w:rsid w:val="001D6342"/>
    <w:rsid w:val="001D6D53"/>
    <w:rsid w:val="001E5266"/>
    <w:rsid w:val="001E58D1"/>
    <w:rsid w:val="001E58E2"/>
    <w:rsid w:val="001E7644"/>
    <w:rsid w:val="001E7AED"/>
    <w:rsid w:val="001F3916"/>
    <w:rsid w:val="001F54C5"/>
    <w:rsid w:val="001F662C"/>
    <w:rsid w:val="001F7074"/>
    <w:rsid w:val="00200490"/>
    <w:rsid w:val="0020071A"/>
    <w:rsid w:val="00201F3A"/>
    <w:rsid w:val="00203F96"/>
    <w:rsid w:val="002069B2"/>
    <w:rsid w:val="00207FA3"/>
    <w:rsid w:val="0021199D"/>
    <w:rsid w:val="002131C7"/>
    <w:rsid w:val="00214DA8"/>
    <w:rsid w:val="00215212"/>
    <w:rsid w:val="00215423"/>
    <w:rsid w:val="002158FA"/>
    <w:rsid w:val="00220600"/>
    <w:rsid w:val="002224DB"/>
    <w:rsid w:val="00223FCB"/>
    <w:rsid w:val="002252C3"/>
    <w:rsid w:val="00225C54"/>
    <w:rsid w:val="0022726A"/>
    <w:rsid w:val="00230765"/>
    <w:rsid w:val="00230D18"/>
    <w:rsid w:val="002319E4"/>
    <w:rsid w:val="00235632"/>
    <w:rsid w:val="00235872"/>
    <w:rsid w:val="00241559"/>
    <w:rsid w:val="0024281A"/>
    <w:rsid w:val="002435B3"/>
    <w:rsid w:val="00245167"/>
    <w:rsid w:val="002458EB"/>
    <w:rsid w:val="002500C8"/>
    <w:rsid w:val="00251295"/>
    <w:rsid w:val="00253853"/>
    <w:rsid w:val="00257543"/>
    <w:rsid w:val="002617E7"/>
    <w:rsid w:val="00264228"/>
    <w:rsid w:val="00264334"/>
    <w:rsid w:val="0026473E"/>
    <w:rsid w:val="00266214"/>
    <w:rsid w:val="00267C83"/>
    <w:rsid w:val="0027144F"/>
    <w:rsid w:val="00271813"/>
    <w:rsid w:val="00271F3A"/>
    <w:rsid w:val="00273278"/>
    <w:rsid w:val="0027357D"/>
    <w:rsid w:val="002737F4"/>
    <w:rsid w:val="002805F5"/>
    <w:rsid w:val="00280751"/>
    <w:rsid w:val="0028280A"/>
    <w:rsid w:val="00283FE1"/>
    <w:rsid w:val="00286ACD"/>
    <w:rsid w:val="00287838"/>
    <w:rsid w:val="002907B5"/>
    <w:rsid w:val="002920EB"/>
    <w:rsid w:val="00292EB7"/>
    <w:rsid w:val="00296227"/>
    <w:rsid w:val="00296F44"/>
    <w:rsid w:val="0029777D"/>
    <w:rsid w:val="002A055E"/>
    <w:rsid w:val="002A1D4E"/>
    <w:rsid w:val="002A2869"/>
    <w:rsid w:val="002A2E80"/>
    <w:rsid w:val="002A6EA4"/>
    <w:rsid w:val="002B24D6"/>
    <w:rsid w:val="002C41E6"/>
    <w:rsid w:val="002D071A"/>
    <w:rsid w:val="002D3327"/>
    <w:rsid w:val="002D34B2"/>
    <w:rsid w:val="002D48B0"/>
    <w:rsid w:val="002D5B37"/>
    <w:rsid w:val="002D7637"/>
    <w:rsid w:val="002E149C"/>
    <w:rsid w:val="002E17F2"/>
    <w:rsid w:val="002E1E0E"/>
    <w:rsid w:val="002E3267"/>
    <w:rsid w:val="002E750D"/>
    <w:rsid w:val="002E7CAE"/>
    <w:rsid w:val="002F13E4"/>
    <w:rsid w:val="002F2771"/>
    <w:rsid w:val="002F37A9"/>
    <w:rsid w:val="002F6FE6"/>
    <w:rsid w:val="00301CE6"/>
    <w:rsid w:val="003020D8"/>
    <w:rsid w:val="0030256B"/>
    <w:rsid w:val="0030501F"/>
    <w:rsid w:val="00307BA1"/>
    <w:rsid w:val="00311702"/>
    <w:rsid w:val="00311E82"/>
    <w:rsid w:val="00313FD6"/>
    <w:rsid w:val="003143BD"/>
    <w:rsid w:val="00315363"/>
    <w:rsid w:val="003203ED"/>
    <w:rsid w:val="00320DE4"/>
    <w:rsid w:val="00322C9F"/>
    <w:rsid w:val="00324D23"/>
    <w:rsid w:val="00331751"/>
    <w:rsid w:val="00334579"/>
    <w:rsid w:val="00335858"/>
    <w:rsid w:val="00336BDA"/>
    <w:rsid w:val="00342BD7"/>
    <w:rsid w:val="00343A0E"/>
    <w:rsid w:val="00346DB5"/>
    <w:rsid w:val="003477B1"/>
    <w:rsid w:val="00350FD3"/>
    <w:rsid w:val="00357380"/>
    <w:rsid w:val="003602D9"/>
    <w:rsid w:val="003604CE"/>
    <w:rsid w:val="00363790"/>
    <w:rsid w:val="00370E47"/>
    <w:rsid w:val="003719F2"/>
    <w:rsid w:val="003742AC"/>
    <w:rsid w:val="00377CE1"/>
    <w:rsid w:val="00385BF0"/>
    <w:rsid w:val="003939FF"/>
    <w:rsid w:val="003A2223"/>
    <w:rsid w:val="003A2A0F"/>
    <w:rsid w:val="003A30C0"/>
    <w:rsid w:val="003A404E"/>
    <w:rsid w:val="003A45A1"/>
    <w:rsid w:val="003A5B0A"/>
    <w:rsid w:val="003A6BAC"/>
    <w:rsid w:val="003A70A4"/>
    <w:rsid w:val="003A7EF3"/>
    <w:rsid w:val="003B00A8"/>
    <w:rsid w:val="003B159C"/>
    <w:rsid w:val="003B2434"/>
    <w:rsid w:val="003B369F"/>
    <w:rsid w:val="003B36A3"/>
    <w:rsid w:val="003B6273"/>
    <w:rsid w:val="003B64BB"/>
    <w:rsid w:val="003B7FE5"/>
    <w:rsid w:val="003C11C8"/>
    <w:rsid w:val="003C2702"/>
    <w:rsid w:val="003C419C"/>
    <w:rsid w:val="003C4E30"/>
    <w:rsid w:val="003C7806"/>
    <w:rsid w:val="003D109F"/>
    <w:rsid w:val="003D2478"/>
    <w:rsid w:val="003D3C45"/>
    <w:rsid w:val="003D5B1F"/>
    <w:rsid w:val="003D74FE"/>
    <w:rsid w:val="003E15FA"/>
    <w:rsid w:val="003E55E4"/>
    <w:rsid w:val="003E74E3"/>
    <w:rsid w:val="003E7D43"/>
    <w:rsid w:val="003F0417"/>
    <w:rsid w:val="003F05C7"/>
    <w:rsid w:val="003F130A"/>
    <w:rsid w:val="003F2CD4"/>
    <w:rsid w:val="003F581B"/>
    <w:rsid w:val="003F6BBE"/>
    <w:rsid w:val="004000E8"/>
    <w:rsid w:val="004018CA"/>
    <w:rsid w:val="00402E2B"/>
    <w:rsid w:val="0040512B"/>
    <w:rsid w:val="00405B4D"/>
    <w:rsid w:val="00405CA5"/>
    <w:rsid w:val="00407CD3"/>
    <w:rsid w:val="00410134"/>
    <w:rsid w:val="00410B72"/>
    <w:rsid w:val="00410F18"/>
    <w:rsid w:val="0041263E"/>
    <w:rsid w:val="00413AAC"/>
    <w:rsid w:val="00413E92"/>
    <w:rsid w:val="00421105"/>
    <w:rsid w:val="00422AA4"/>
    <w:rsid w:val="004242F4"/>
    <w:rsid w:val="00426CC3"/>
    <w:rsid w:val="00427248"/>
    <w:rsid w:val="00437447"/>
    <w:rsid w:val="00441A92"/>
    <w:rsid w:val="00443058"/>
    <w:rsid w:val="004431DC"/>
    <w:rsid w:val="00444E2F"/>
    <w:rsid w:val="00444F56"/>
    <w:rsid w:val="00446488"/>
    <w:rsid w:val="004517AA"/>
    <w:rsid w:val="00452CAC"/>
    <w:rsid w:val="00457565"/>
    <w:rsid w:val="00457B71"/>
    <w:rsid w:val="004608A3"/>
    <w:rsid w:val="00461730"/>
    <w:rsid w:val="00464689"/>
    <w:rsid w:val="004669E2"/>
    <w:rsid w:val="00467A73"/>
    <w:rsid w:val="00470C31"/>
    <w:rsid w:val="00471DE0"/>
    <w:rsid w:val="004734D0"/>
    <w:rsid w:val="0047556B"/>
    <w:rsid w:val="00477768"/>
    <w:rsid w:val="00492BC5"/>
    <w:rsid w:val="00493F87"/>
    <w:rsid w:val="004964F1"/>
    <w:rsid w:val="004A16BC"/>
    <w:rsid w:val="004A2B94"/>
    <w:rsid w:val="004B313F"/>
    <w:rsid w:val="004B34BF"/>
    <w:rsid w:val="004B3C41"/>
    <w:rsid w:val="004B6F6A"/>
    <w:rsid w:val="004B7C0C"/>
    <w:rsid w:val="004C3898"/>
    <w:rsid w:val="004D36B1"/>
    <w:rsid w:val="004D7EBD"/>
    <w:rsid w:val="004E2680"/>
    <w:rsid w:val="004E28F9"/>
    <w:rsid w:val="004E2D05"/>
    <w:rsid w:val="004E462E"/>
    <w:rsid w:val="004E56DC"/>
    <w:rsid w:val="004E76F4"/>
    <w:rsid w:val="004F0B4E"/>
    <w:rsid w:val="004F0B6C"/>
    <w:rsid w:val="004F2078"/>
    <w:rsid w:val="004F4DA3"/>
    <w:rsid w:val="00506557"/>
    <w:rsid w:val="0050677A"/>
    <w:rsid w:val="00507892"/>
    <w:rsid w:val="005108D8"/>
    <w:rsid w:val="005116F9"/>
    <w:rsid w:val="00514E5F"/>
    <w:rsid w:val="005153A7"/>
    <w:rsid w:val="00516CA6"/>
    <w:rsid w:val="005219CF"/>
    <w:rsid w:val="00527227"/>
    <w:rsid w:val="00534B59"/>
    <w:rsid w:val="00536759"/>
    <w:rsid w:val="00537C62"/>
    <w:rsid w:val="00540A82"/>
    <w:rsid w:val="0054169C"/>
    <w:rsid w:val="00542712"/>
    <w:rsid w:val="005440B0"/>
    <w:rsid w:val="00546970"/>
    <w:rsid w:val="00554E19"/>
    <w:rsid w:val="0056121F"/>
    <w:rsid w:val="00567235"/>
    <w:rsid w:val="00571C19"/>
    <w:rsid w:val="00572505"/>
    <w:rsid w:val="005750CC"/>
    <w:rsid w:val="00582809"/>
    <w:rsid w:val="0058798C"/>
    <w:rsid w:val="005900FA"/>
    <w:rsid w:val="005935A4"/>
    <w:rsid w:val="00593DD3"/>
    <w:rsid w:val="005948C2"/>
    <w:rsid w:val="00595DCA"/>
    <w:rsid w:val="0059779B"/>
    <w:rsid w:val="005A1AEF"/>
    <w:rsid w:val="005A209A"/>
    <w:rsid w:val="005A662D"/>
    <w:rsid w:val="005B1409"/>
    <w:rsid w:val="005B35D7"/>
    <w:rsid w:val="005B392A"/>
    <w:rsid w:val="005B3AA3"/>
    <w:rsid w:val="005B6F83"/>
    <w:rsid w:val="005B7CA6"/>
    <w:rsid w:val="005C2C23"/>
    <w:rsid w:val="005C74FB"/>
    <w:rsid w:val="005D1602"/>
    <w:rsid w:val="005E038E"/>
    <w:rsid w:val="005E385F"/>
    <w:rsid w:val="005E5B81"/>
    <w:rsid w:val="005E7E88"/>
    <w:rsid w:val="005F1F20"/>
    <w:rsid w:val="005F2CB1"/>
    <w:rsid w:val="005F3025"/>
    <w:rsid w:val="005F618C"/>
    <w:rsid w:val="005F70BD"/>
    <w:rsid w:val="00600D50"/>
    <w:rsid w:val="0060283C"/>
    <w:rsid w:val="00603005"/>
    <w:rsid w:val="00604F14"/>
    <w:rsid w:val="006112E8"/>
    <w:rsid w:val="00611B83"/>
    <w:rsid w:val="00613257"/>
    <w:rsid w:val="00620A71"/>
    <w:rsid w:val="00620D80"/>
    <w:rsid w:val="00621E1C"/>
    <w:rsid w:val="006234A6"/>
    <w:rsid w:val="00630001"/>
    <w:rsid w:val="006311B3"/>
    <w:rsid w:val="0063284C"/>
    <w:rsid w:val="00633326"/>
    <w:rsid w:val="00636398"/>
    <w:rsid w:val="006368D3"/>
    <w:rsid w:val="006377EC"/>
    <w:rsid w:val="0064151F"/>
    <w:rsid w:val="00641533"/>
    <w:rsid w:val="0064208D"/>
    <w:rsid w:val="00643475"/>
    <w:rsid w:val="0064396A"/>
    <w:rsid w:val="0064624E"/>
    <w:rsid w:val="00650AB9"/>
    <w:rsid w:val="00650C50"/>
    <w:rsid w:val="00655733"/>
    <w:rsid w:val="00655ACD"/>
    <w:rsid w:val="00656A92"/>
    <w:rsid w:val="00656DDE"/>
    <w:rsid w:val="0066011D"/>
    <w:rsid w:val="006607C0"/>
    <w:rsid w:val="006613A6"/>
    <w:rsid w:val="00661F45"/>
    <w:rsid w:val="006627A2"/>
    <w:rsid w:val="006634E6"/>
    <w:rsid w:val="00663ECD"/>
    <w:rsid w:val="006655EE"/>
    <w:rsid w:val="00667EE7"/>
    <w:rsid w:val="00670922"/>
    <w:rsid w:val="00670BE1"/>
    <w:rsid w:val="0067218F"/>
    <w:rsid w:val="006741F2"/>
    <w:rsid w:val="00674CC3"/>
    <w:rsid w:val="00675C72"/>
    <w:rsid w:val="006771F9"/>
    <w:rsid w:val="006776D7"/>
    <w:rsid w:val="00681003"/>
    <w:rsid w:val="006817C9"/>
    <w:rsid w:val="00683ECE"/>
    <w:rsid w:val="006938EA"/>
    <w:rsid w:val="00695FC2"/>
    <w:rsid w:val="00696949"/>
    <w:rsid w:val="00697052"/>
    <w:rsid w:val="006A2CEC"/>
    <w:rsid w:val="006A46FB"/>
    <w:rsid w:val="006A5E28"/>
    <w:rsid w:val="006A697B"/>
    <w:rsid w:val="006A7AFF"/>
    <w:rsid w:val="006B1816"/>
    <w:rsid w:val="006B2099"/>
    <w:rsid w:val="006B50CF"/>
    <w:rsid w:val="006C03B8"/>
    <w:rsid w:val="006C5EC9"/>
    <w:rsid w:val="006C6059"/>
    <w:rsid w:val="006C7522"/>
    <w:rsid w:val="006D1D25"/>
    <w:rsid w:val="006D3E5B"/>
    <w:rsid w:val="006D5D5F"/>
    <w:rsid w:val="006D6F08"/>
    <w:rsid w:val="006E062C"/>
    <w:rsid w:val="006E1C82"/>
    <w:rsid w:val="006E28B7"/>
    <w:rsid w:val="006E2A9B"/>
    <w:rsid w:val="006E3310"/>
    <w:rsid w:val="006E4E39"/>
    <w:rsid w:val="006E565E"/>
    <w:rsid w:val="006E673D"/>
    <w:rsid w:val="006E7D3B"/>
    <w:rsid w:val="006F1B70"/>
    <w:rsid w:val="006F2AD3"/>
    <w:rsid w:val="006F341D"/>
    <w:rsid w:val="006F3CDE"/>
    <w:rsid w:val="006F58D4"/>
    <w:rsid w:val="006F6582"/>
    <w:rsid w:val="0070011A"/>
    <w:rsid w:val="0070346E"/>
    <w:rsid w:val="00704EDB"/>
    <w:rsid w:val="00705B22"/>
    <w:rsid w:val="00706101"/>
    <w:rsid w:val="00707072"/>
    <w:rsid w:val="00707D61"/>
    <w:rsid w:val="00712287"/>
    <w:rsid w:val="00712772"/>
    <w:rsid w:val="007148D3"/>
    <w:rsid w:val="00715B9A"/>
    <w:rsid w:val="00722F41"/>
    <w:rsid w:val="007257D0"/>
    <w:rsid w:val="00726EA6"/>
    <w:rsid w:val="00727208"/>
    <w:rsid w:val="00727680"/>
    <w:rsid w:val="007348B1"/>
    <w:rsid w:val="007362A6"/>
    <w:rsid w:val="00736D7D"/>
    <w:rsid w:val="00737049"/>
    <w:rsid w:val="0074019E"/>
    <w:rsid w:val="00740E58"/>
    <w:rsid w:val="007445A0"/>
    <w:rsid w:val="0074524B"/>
    <w:rsid w:val="00747D8B"/>
    <w:rsid w:val="00751228"/>
    <w:rsid w:val="007571E1"/>
    <w:rsid w:val="00760094"/>
    <w:rsid w:val="007604B2"/>
    <w:rsid w:val="00761445"/>
    <w:rsid w:val="0076237D"/>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414"/>
    <w:rsid w:val="007B1220"/>
    <w:rsid w:val="007B3D2D"/>
    <w:rsid w:val="007B50AE"/>
    <w:rsid w:val="007B51DF"/>
    <w:rsid w:val="007C05DD"/>
    <w:rsid w:val="007C3D18"/>
    <w:rsid w:val="007C60BF"/>
    <w:rsid w:val="007C652B"/>
    <w:rsid w:val="007C6A07"/>
    <w:rsid w:val="007C75A1"/>
    <w:rsid w:val="007C77A5"/>
    <w:rsid w:val="007D04E5"/>
    <w:rsid w:val="007D3CFD"/>
    <w:rsid w:val="007D4132"/>
    <w:rsid w:val="007D5901"/>
    <w:rsid w:val="007D5F31"/>
    <w:rsid w:val="007D7526"/>
    <w:rsid w:val="007E4610"/>
    <w:rsid w:val="007E4621"/>
    <w:rsid w:val="007E4715"/>
    <w:rsid w:val="007E505B"/>
    <w:rsid w:val="007E7091"/>
    <w:rsid w:val="007E7EA8"/>
    <w:rsid w:val="007F44CA"/>
    <w:rsid w:val="00803FAE"/>
    <w:rsid w:val="0080605F"/>
    <w:rsid w:val="00807786"/>
    <w:rsid w:val="00807E1D"/>
    <w:rsid w:val="00811FCB"/>
    <w:rsid w:val="008158D6"/>
    <w:rsid w:val="00817196"/>
    <w:rsid w:val="00820EFA"/>
    <w:rsid w:val="008235DB"/>
    <w:rsid w:val="00824AB4"/>
    <w:rsid w:val="00824B06"/>
    <w:rsid w:val="00825C42"/>
    <w:rsid w:val="00825D25"/>
    <w:rsid w:val="00827411"/>
    <w:rsid w:val="00827449"/>
    <w:rsid w:val="00827D6F"/>
    <w:rsid w:val="0083601F"/>
    <w:rsid w:val="008376AC"/>
    <w:rsid w:val="008444E8"/>
    <w:rsid w:val="00844E80"/>
    <w:rsid w:val="00846950"/>
    <w:rsid w:val="00846FE7"/>
    <w:rsid w:val="0085445E"/>
    <w:rsid w:val="00856911"/>
    <w:rsid w:val="00860F22"/>
    <w:rsid w:val="00863C52"/>
    <w:rsid w:val="008677FD"/>
    <w:rsid w:val="00870400"/>
    <w:rsid w:val="008706D4"/>
    <w:rsid w:val="00870F8A"/>
    <w:rsid w:val="008719A4"/>
    <w:rsid w:val="00871D23"/>
    <w:rsid w:val="00871E2F"/>
    <w:rsid w:val="00874255"/>
    <w:rsid w:val="00874312"/>
    <w:rsid w:val="0087437C"/>
    <w:rsid w:val="00875CD7"/>
    <w:rsid w:val="00876448"/>
    <w:rsid w:val="00876B4D"/>
    <w:rsid w:val="00877F18"/>
    <w:rsid w:val="008941E3"/>
    <w:rsid w:val="00894A88"/>
    <w:rsid w:val="00894C4D"/>
    <w:rsid w:val="00895386"/>
    <w:rsid w:val="00897C0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7DF"/>
    <w:rsid w:val="008E1909"/>
    <w:rsid w:val="008F1C4E"/>
    <w:rsid w:val="008F1EAB"/>
    <w:rsid w:val="008F33DC"/>
    <w:rsid w:val="008F477F"/>
    <w:rsid w:val="008F71F5"/>
    <w:rsid w:val="00902350"/>
    <w:rsid w:val="009027D4"/>
    <w:rsid w:val="0090336B"/>
    <w:rsid w:val="00903CB4"/>
    <w:rsid w:val="009053AA"/>
    <w:rsid w:val="00906939"/>
    <w:rsid w:val="00910B7D"/>
    <w:rsid w:val="00911DFB"/>
    <w:rsid w:val="009139D9"/>
    <w:rsid w:val="00914AD8"/>
    <w:rsid w:val="00915B07"/>
    <w:rsid w:val="00916079"/>
    <w:rsid w:val="00917CE9"/>
    <w:rsid w:val="00920BF2"/>
    <w:rsid w:val="00922010"/>
    <w:rsid w:val="0092390E"/>
    <w:rsid w:val="00931BD9"/>
    <w:rsid w:val="009368F3"/>
    <w:rsid w:val="00941636"/>
    <w:rsid w:val="00943742"/>
    <w:rsid w:val="00945C05"/>
    <w:rsid w:val="00946945"/>
    <w:rsid w:val="00947713"/>
    <w:rsid w:val="00950359"/>
    <w:rsid w:val="00950DE7"/>
    <w:rsid w:val="00953920"/>
    <w:rsid w:val="00953D47"/>
    <w:rsid w:val="0095681E"/>
    <w:rsid w:val="009572D4"/>
    <w:rsid w:val="00961921"/>
    <w:rsid w:val="0096430A"/>
    <w:rsid w:val="0096554B"/>
    <w:rsid w:val="0096584A"/>
    <w:rsid w:val="0097028D"/>
    <w:rsid w:val="00971F08"/>
    <w:rsid w:val="0097603D"/>
    <w:rsid w:val="00976949"/>
    <w:rsid w:val="00980477"/>
    <w:rsid w:val="00985253"/>
    <w:rsid w:val="009853B3"/>
    <w:rsid w:val="00985B1C"/>
    <w:rsid w:val="00990630"/>
    <w:rsid w:val="00991761"/>
    <w:rsid w:val="00994DCA"/>
    <w:rsid w:val="009960EC"/>
    <w:rsid w:val="009970DD"/>
    <w:rsid w:val="009A0FBA"/>
    <w:rsid w:val="009A1601"/>
    <w:rsid w:val="009A3BB6"/>
    <w:rsid w:val="009A462D"/>
    <w:rsid w:val="009A479A"/>
    <w:rsid w:val="009A5CBA"/>
    <w:rsid w:val="009A5EFC"/>
    <w:rsid w:val="009B02A0"/>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1E9"/>
    <w:rsid w:val="009F344F"/>
    <w:rsid w:val="009F3F0A"/>
    <w:rsid w:val="00A0079A"/>
    <w:rsid w:val="00A012A2"/>
    <w:rsid w:val="00A031D8"/>
    <w:rsid w:val="00A048A8"/>
    <w:rsid w:val="00A04F49"/>
    <w:rsid w:val="00A13E54"/>
    <w:rsid w:val="00A17F63"/>
    <w:rsid w:val="00A2193B"/>
    <w:rsid w:val="00A2351A"/>
    <w:rsid w:val="00A264A9"/>
    <w:rsid w:val="00A26DCF"/>
    <w:rsid w:val="00A27785"/>
    <w:rsid w:val="00A27C3E"/>
    <w:rsid w:val="00A30187"/>
    <w:rsid w:val="00A3448A"/>
    <w:rsid w:val="00A36297"/>
    <w:rsid w:val="00A41E2B"/>
    <w:rsid w:val="00A4421F"/>
    <w:rsid w:val="00A45B74"/>
    <w:rsid w:val="00A52E1D"/>
    <w:rsid w:val="00A556E7"/>
    <w:rsid w:val="00A61499"/>
    <w:rsid w:val="00A62A77"/>
    <w:rsid w:val="00A63483"/>
    <w:rsid w:val="00A657D7"/>
    <w:rsid w:val="00A660AC"/>
    <w:rsid w:val="00A67E6C"/>
    <w:rsid w:val="00A71B99"/>
    <w:rsid w:val="00A739D0"/>
    <w:rsid w:val="00A75C77"/>
    <w:rsid w:val="00A761D4"/>
    <w:rsid w:val="00A77EC4"/>
    <w:rsid w:val="00A822DE"/>
    <w:rsid w:val="00A83388"/>
    <w:rsid w:val="00A83F7F"/>
    <w:rsid w:val="00A92264"/>
    <w:rsid w:val="00A92879"/>
    <w:rsid w:val="00A9442A"/>
    <w:rsid w:val="00A94A0D"/>
    <w:rsid w:val="00A961B5"/>
    <w:rsid w:val="00AA016F"/>
    <w:rsid w:val="00AA1ED6"/>
    <w:rsid w:val="00AA4E26"/>
    <w:rsid w:val="00AA51D6"/>
    <w:rsid w:val="00AB0BC8"/>
    <w:rsid w:val="00AB11CA"/>
    <w:rsid w:val="00AB14D9"/>
    <w:rsid w:val="00AB215C"/>
    <w:rsid w:val="00AB4AB8"/>
    <w:rsid w:val="00AB655E"/>
    <w:rsid w:val="00AC007F"/>
    <w:rsid w:val="00AC2ECD"/>
    <w:rsid w:val="00AC3119"/>
    <w:rsid w:val="00AC49FB"/>
    <w:rsid w:val="00AC5A10"/>
    <w:rsid w:val="00AC74FC"/>
    <w:rsid w:val="00AD0AA3"/>
    <w:rsid w:val="00AD2ED0"/>
    <w:rsid w:val="00AD3F94"/>
    <w:rsid w:val="00AD4043"/>
    <w:rsid w:val="00AD4A5A"/>
    <w:rsid w:val="00AE27AC"/>
    <w:rsid w:val="00AE2EDA"/>
    <w:rsid w:val="00AE40E0"/>
    <w:rsid w:val="00AE4DBA"/>
    <w:rsid w:val="00AE4F07"/>
    <w:rsid w:val="00AE7821"/>
    <w:rsid w:val="00AF1C5D"/>
    <w:rsid w:val="00AF42D7"/>
    <w:rsid w:val="00B006FE"/>
    <w:rsid w:val="00B007CB"/>
    <w:rsid w:val="00B02AA9"/>
    <w:rsid w:val="00B02FA3"/>
    <w:rsid w:val="00B05084"/>
    <w:rsid w:val="00B07D36"/>
    <w:rsid w:val="00B112BF"/>
    <w:rsid w:val="00B13218"/>
    <w:rsid w:val="00B157F9"/>
    <w:rsid w:val="00B2003D"/>
    <w:rsid w:val="00B20256"/>
    <w:rsid w:val="00B20D09"/>
    <w:rsid w:val="00B2763F"/>
    <w:rsid w:val="00B27AAC"/>
    <w:rsid w:val="00B30929"/>
    <w:rsid w:val="00B3277A"/>
    <w:rsid w:val="00B372AA"/>
    <w:rsid w:val="00B37A13"/>
    <w:rsid w:val="00B40445"/>
    <w:rsid w:val="00B409E0"/>
    <w:rsid w:val="00B41888"/>
    <w:rsid w:val="00B45A52"/>
    <w:rsid w:val="00B46175"/>
    <w:rsid w:val="00B548B7"/>
    <w:rsid w:val="00B65999"/>
    <w:rsid w:val="00B664C7"/>
    <w:rsid w:val="00B739F6"/>
    <w:rsid w:val="00B73FE9"/>
    <w:rsid w:val="00B81A6C"/>
    <w:rsid w:val="00B823C8"/>
    <w:rsid w:val="00B85DE5"/>
    <w:rsid w:val="00B90F73"/>
    <w:rsid w:val="00B93314"/>
    <w:rsid w:val="00B93B59"/>
    <w:rsid w:val="00B9406A"/>
    <w:rsid w:val="00BA2280"/>
    <w:rsid w:val="00BA2866"/>
    <w:rsid w:val="00BA2A08"/>
    <w:rsid w:val="00BA56D2"/>
    <w:rsid w:val="00BA5F72"/>
    <w:rsid w:val="00BA76E0"/>
    <w:rsid w:val="00BB2A25"/>
    <w:rsid w:val="00BB51E9"/>
    <w:rsid w:val="00BB7E02"/>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580F"/>
    <w:rsid w:val="00C07377"/>
    <w:rsid w:val="00C10478"/>
    <w:rsid w:val="00C12107"/>
    <w:rsid w:val="00C14D4B"/>
    <w:rsid w:val="00C154BB"/>
    <w:rsid w:val="00C165FF"/>
    <w:rsid w:val="00C20CA2"/>
    <w:rsid w:val="00C2461F"/>
    <w:rsid w:val="00C27591"/>
    <w:rsid w:val="00C279B5"/>
    <w:rsid w:val="00C27C45"/>
    <w:rsid w:val="00C3719D"/>
    <w:rsid w:val="00C37CB2"/>
    <w:rsid w:val="00C473A5"/>
    <w:rsid w:val="00C5041F"/>
    <w:rsid w:val="00C54995"/>
    <w:rsid w:val="00C54D41"/>
    <w:rsid w:val="00C60783"/>
    <w:rsid w:val="00C64672"/>
    <w:rsid w:val="00C70697"/>
    <w:rsid w:val="00C72093"/>
    <w:rsid w:val="00C72EF4"/>
    <w:rsid w:val="00C744FE"/>
    <w:rsid w:val="00C75D2F"/>
    <w:rsid w:val="00C767BE"/>
    <w:rsid w:val="00C76E3C"/>
    <w:rsid w:val="00C77D23"/>
    <w:rsid w:val="00C81568"/>
    <w:rsid w:val="00C823B1"/>
    <w:rsid w:val="00C9027A"/>
    <w:rsid w:val="00C9068E"/>
    <w:rsid w:val="00C93814"/>
    <w:rsid w:val="00C93C4B"/>
    <w:rsid w:val="00C944AB"/>
    <w:rsid w:val="00C95B40"/>
    <w:rsid w:val="00C9770B"/>
    <w:rsid w:val="00CA1ED8"/>
    <w:rsid w:val="00CB1F63"/>
    <w:rsid w:val="00CB7170"/>
    <w:rsid w:val="00CC040E"/>
    <w:rsid w:val="00CC111F"/>
    <w:rsid w:val="00CC2011"/>
    <w:rsid w:val="00CC3EA0"/>
    <w:rsid w:val="00CC7B45"/>
    <w:rsid w:val="00CD1181"/>
    <w:rsid w:val="00CD1188"/>
    <w:rsid w:val="00CD2ED1"/>
    <w:rsid w:val="00CD337B"/>
    <w:rsid w:val="00CE0424"/>
    <w:rsid w:val="00CE1B6D"/>
    <w:rsid w:val="00CE6E37"/>
    <w:rsid w:val="00CE7561"/>
    <w:rsid w:val="00CF1354"/>
    <w:rsid w:val="00CF3B1F"/>
    <w:rsid w:val="00CF3BF6"/>
    <w:rsid w:val="00CF625B"/>
    <w:rsid w:val="00CF687E"/>
    <w:rsid w:val="00D0349B"/>
    <w:rsid w:val="00D07D0F"/>
    <w:rsid w:val="00D10249"/>
    <w:rsid w:val="00D114EE"/>
    <w:rsid w:val="00D115C3"/>
    <w:rsid w:val="00D11897"/>
    <w:rsid w:val="00D13135"/>
    <w:rsid w:val="00D13E4E"/>
    <w:rsid w:val="00D145E5"/>
    <w:rsid w:val="00D167B5"/>
    <w:rsid w:val="00D2041F"/>
    <w:rsid w:val="00D239A7"/>
    <w:rsid w:val="00D23F47"/>
    <w:rsid w:val="00D36E71"/>
    <w:rsid w:val="00D37D87"/>
    <w:rsid w:val="00D40B33"/>
    <w:rsid w:val="00D4318F"/>
    <w:rsid w:val="00D438BF"/>
    <w:rsid w:val="00D440F8"/>
    <w:rsid w:val="00D501A7"/>
    <w:rsid w:val="00D546FF"/>
    <w:rsid w:val="00D55AD5"/>
    <w:rsid w:val="00D57479"/>
    <w:rsid w:val="00D576CA"/>
    <w:rsid w:val="00D61AF5"/>
    <w:rsid w:val="00D6446C"/>
    <w:rsid w:val="00D647B3"/>
    <w:rsid w:val="00D65111"/>
    <w:rsid w:val="00D652B5"/>
    <w:rsid w:val="00D66155"/>
    <w:rsid w:val="00D708B0"/>
    <w:rsid w:val="00D77B1D"/>
    <w:rsid w:val="00D8021F"/>
    <w:rsid w:val="00D80383"/>
    <w:rsid w:val="00D80B84"/>
    <w:rsid w:val="00D823C6"/>
    <w:rsid w:val="00D8327F"/>
    <w:rsid w:val="00D8633F"/>
    <w:rsid w:val="00D86CA3"/>
    <w:rsid w:val="00D871CE"/>
    <w:rsid w:val="00D9196D"/>
    <w:rsid w:val="00D92982"/>
    <w:rsid w:val="00DA0C32"/>
    <w:rsid w:val="00DA305E"/>
    <w:rsid w:val="00DA5417"/>
    <w:rsid w:val="00DA56E8"/>
    <w:rsid w:val="00DB070A"/>
    <w:rsid w:val="00DB0A9F"/>
    <w:rsid w:val="00DB377D"/>
    <w:rsid w:val="00DB542D"/>
    <w:rsid w:val="00DC2D36"/>
    <w:rsid w:val="00DC53EF"/>
    <w:rsid w:val="00DD071E"/>
    <w:rsid w:val="00DD65E2"/>
    <w:rsid w:val="00DE21EC"/>
    <w:rsid w:val="00DE50B6"/>
    <w:rsid w:val="00DE5608"/>
    <w:rsid w:val="00DE58D0"/>
    <w:rsid w:val="00DE654F"/>
    <w:rsid w:val="00DF0B6E"/>
    <w:rsid w:val="00DF107A"/>
    <w:rsid w:val="00DF15E0"/>
    <w:rsid w:val="00DF37A0"/>
    <w:rsid w:val="00E04D70"/>
    <w:rsid w:val="00E1038A"/>
    <w:rsid w:val="00E110E7"/>
    <w:rsid w:val="00E11B20"/>
    <w:rsid w:val="00E140D3"/>
    <w:rsid w:val="00E17FA2"/>
    <w:rsid w:val="00E22330"/>
    <w:rsid w:val="00E30B5A"/>
    <w:rsid w:val="00E3123D"/>
    <w:rsid w:val="00E31461"/>
    <w:rsid w:val="00E31A71"/>
    <w:rsid w:val="00E31D43"/>
    <w:rsid w:val="00E32608"/>
    <w:rsid w:val="00E34188"/>
    <w:rsid w:val="00E34B6E"/>
    <w:rsid w:val="00E35559"/>
    <w:rsid w:val="00E3723A"/>
    <w:rsid w:val="00E37860"/>
    <w:rsid w:val="00E446F1"/>
    <w:rsid w:val="00E46886"/>
    <w:rsid w:val="00E47AEF"/>
    <w:rsid w:val="00E53B75"/>
    <w:rsid w:val="00E54E3B"/>
    <w:rsid w:val="00E57565"/>
    <w:rsid w:val="00E60157"/>
    <w:rsid w:val="00E612F1"/>
    <w:rsid w:val="00E63838"/>
    <w:rsid w:val="00E64434"/>
    <w:rsid w:val="00E67C51"/>
    <w:rsid w:val="00E72EFC"/>
    <w:rsid w:val="00E758EC"/>
    <w:rsid w:val="00E80663"/>
    <w:rsid w:val="00E8234C"/>
    <w:rsid w:val="00E83AA9"/>
    <w:rsid w:val="00E85928"/>
    <w:rsid w:val="00E87822"/>
    <w:rsid w:val="00E90395"/>
    <w:rsid w:val="00E90E49"/>
    <w:rsid w:val="00E917F9"/>
    <w:rsid w:val="00E9291C"/>
    <w:rsid w:val="00E93FFE"/>
    <w:rsid w:val="00E94F8A"/>
    <w:rsid w:val="00EA2001"/>
    <w:rsid w:val="00EA7A41"/>
    <w:rsid w:val="00EB077B"/>
    <w:rsid w:val="00EB29CD"/>
    <w:rsid w:val="00EB4EA2"/>
    <w:rsid w:val="00EB5CFB"/>
    <w:rsid w:val="00EC24D5"/>
    <w:rsid w:val="00EC27C6"/>
    <w:rsid w:val="00EC4207"/>
    <w:rsid w:val="00EC52AD"/>
    <w:rsid w:val="00EC555C"/>
    <w:rsid w:val="00EC557E"/>
    <w:rsid w:val="00EC5653"/>
    <w:rsid w:val="00EC57D7"/>
    <w:rsid w:val="00EC71CE"/>
    <w:rsid w:val="00ED1006"/>
    <w:rsid w:val="00ED10D8"/>
    <w:rsid w:val="00ED3BFA"/>
    <w:rsid w:val="00ED3C62"/>
    <w:rsid w:val="00ED551E"/>
    <w:rsid w:val="00ED7175"/>
    <w:rsid w:val="00ED7A45"/>
    <w:rsid w:val="00EE03D1"/>
    <w:rsid w:val="00EF18FE"/>
    <w:rsid w:val="00EF2126"/>
    <w:rsid w:val="00EF5787"/>
    <w:rsid w:val="00EF60D0"/>
    <w:rsid w:val="00F0528D"/>
    <w:rsid w:val="00F06C67"/>
    <w:rsid w:val="00F06DFD"/>
    <w:rsid w:val="00F071D1"/>
    <w:rsid w:val="00F07533"/>
    <w:rsid w:val="00F10629"/>
    <w:rsid w:val="00F15FA5"/>
    <w:rsid w:val="00F209B7"/>
    <w:rsid w:val="00F2376F"/>
    <w:rsid w:val="00F243D8"/>
    <w:rsid w:val="00F260EB"/>
    <w:rsid w:val="00F30828"/>
    <w:rsid w:val="00F313D6"/>
    <w:rsid w:val="00F35226"/>
    <w:rsid w:val="00F35BA8"/>
    <w:rsid w:val="00F3794F"/>
    <w:rsid w:val="00F37E54"/>
    <w:rsid w:val="00F40F0C"/>
    <w:rsid w:val="00F4766C"/>
    <w:rsid w:val="00F5060E"/>
    <w:rsid w:val="00F507D1"/>
    <w:rsid w:val="00F511B7"/>
    <w:rsid w:val="00F519CE"/>
    <w:rsid w:val="00F51ADA"/>
    <w:rsid w:val="00F60203"/>
    <w:rsid w:val="00F607C5"/>
    <w:rsid w:val="00F60DEA"/>
    <w:rsid w:val="00F6302A"/>
    <w:rsid w:val="00F63950"/>
    <w:rsid w:val="00F64C2B"/>
    <w:rsid w:val="00F651BE"/>
    <w:rsid w:val="00F67F53"/>
    <w:rsid w:val="00F703BE"/>
    <w:rsid w:val="00F71233"/>
    <w:rsid w:val="00F71AA5"/>
    <w:rsid w:val="00F71F69"/>
    <w:rsid w:val="00F72B72"/>
    <w:rsid w:val="00F74BB9"/>
    <w:rsid w:val="00F75582"/>
    <w:rsid w:val="00F76EFA"/>
    <w:rsid w:val="00F80430"/>
    <w:rsid w:val="00F804B2"/>
    <w:rsid w:val="00F804BE"/>
    <w:rsid w:val="00F8114B"/>
    <w:rsid w:val="00F817CE"/>
    <w:rsid w:val="00F8456C"/>
    <w:rsid w:val="00F859D8"/>
    <w:rsid w:val="00F868F5"/>
    <w:rsid w:val="00F9056A"/>
    <w:rsid w:val="00F90F8D"/>
    <w:rsid w:val="00F92782"/>
    <w:rsid w:val="00F93AA9"/>
    <w:rsid w:val="00F96985"/>
    <w:rsid w:val="00F97838"/>
    <w:rsid w:val="00FA2BB3"/>
    <w:rsid w:val="00FB1CBE"/>
    <w:rsid w:val="00FB4C80"/>
    <w:rsid w:val="00FB6A6A"/>
    <w:rsid w:val="00FC44F2"/>
    <w:rsid w:val="00FC7429"/>
    <w:rsid w:val="00FD07F6"/>
    <w:rsid w:val="00FD1EC8"/>
    <w:rsid w:val="00FD47ED"/>
    <w:rsid w:val="00FD74DB"/>
    <w:rsid w:val="00FD7660"/>
    <w:rsid w:val="00FE0655"/>
    <w:rsid w:val="00FE2365"/>
    <w:rsid w:val="00FE37D7"/>
    <w:rsid w:val="00FE4C7B"/>
    <w:rsid w:val="00FE7336"/>
    <w:rsid w:val="00FE787C"/>
    <w:rsid w:val="00FF0FBF"/>
    <w:rsid w:val="00FF3479"/>
    <w:rsid w:val="00FF45A5"/>
    <w:rsid w:val="00FF50B8"/>
    <w:rsid w:val="00FF5C91"/>
    <w:rsid w:val="0480FAD8"/>
    <w:rsid w:val="08DB4026"/>
    <w:rsid w:val="22A69E62"/>
    <w:rsid w:val="26045188"/>
    <w:rsid w:val="2A4CA54B"/>
    <w:rsid w:val="2E5ADEB8"/>
    <w:rsid w:val="2EB1B4A9"/>
    <w:rsid w:val="344482F7"/>
    <w:rsid w:val="3A64695F"/>
    <w:rsid w:val="4A1DA8FF"/>
    <w:rsid w:val="61A362C1"/>
    <w:rsid w:val="7161E436"/>
    <w:rsid w:val="797A1C73"/>
    <w:rsid w:val="7EE085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37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623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237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283FE1"/>
    <w:pPr>
      <w:numPr>
        <w:numId w:val="2"/>
      </w:numPr>
      <w:tabs>
        <w:tab w:val="left" w:pos="158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0145FB"/>
    <w:rPr>
      <w:color w:val="808080"/>
    </w:rPr>
  </w:style>
  <w:style w:type="paragraph" w:customStyle="1" w:styleId="Normal1CharChar">
    <w:name w:val="Normal1 Char Char"/>
    <w:uiPriority w:val="99"/>
    <w:qFormat/>
    <w:rsid w:val="00AE7821"/>
    <w:pPr>
      <w:keepNext/>
      <w:numPr>
        <w:numId w:val="13"/>
      </w:numPr>
      <w:kinsoku w:val="0"/>
      <w:overflowPunct w:val="0"/>
      <w:autoSpaceDE w:val="0"/>
      <w:autoSpaceDN w:val="0"/>
      <w:adjustRightInd w:val="0"/>
      <w:spacing w:before="60" w:after="60"/>
      <w:jc w:val="both"/>
    </w:pPr>
    <w:rPr>
      <w:rFonts w:ascii="Times New Roman" w:hAnsi="Times New Roman"/>
      <w:kern w:val="2"/>
      <w:sz w:val="21"/>
      <w:lang w:eastAsia="ja-JP"/>
    </w:rPr>
  </w:style>
  <w:style w:type="character" w:styleId="UnresolvedMention">
    <w:name w:val="Unresolved Mention"/>
    <w:basedOn w:val="DefaultParagraphFont"/>
    <w:uiPriority w:val="99"/>
    <w:unhideWhenUsed/>
    <w:rsid w:val="004018CA"/>
    <w:rPr>
      <w:color w:val="605E5C"/>
      <w:shd w:val="clear" w:color="auto" w:fill="E1DFDD"/>
    </w:rPr>
  </w:style>
  <w:style w:type="character" w:styleId="Mention">
    <w:name w:val="Mention"/>
    <w:basedOn w:val="DefaultParagraphFont"/>
    <w:uiPriority w:val="99"/>
    <w:unhideWhenUsed/>
    <w:rsid w:val="004018CA"/>
    <w:rPr>
      <w:color w:val="2B579A"/>
      <w:shd w:val="clear" w:color="auto" w:fill="E1DFDD"/>
    </w:rPr>
  </w:style>
  <w:style w:type="paragraph" w:styleId="Revision">
    <w:name w:val="Revision"/>
    <w:hidden/>
    <w:uiPriority w:val="99"/>
    <w:semiHidden/>
    <w:rsid w:val="00CD1181"/>
    <w:rPr>
      <w:rFonts w:asciiTheme="minorHAnsi" w:eastAsiaTheme="minorHAnsi" w:hAnsiTheme="minorHAnsi" w:cstheme="minorBidi"/>
      <w:sz w:val="22"/>
      <w:szCs w:val="22"/>
      <w:lang w:val="en-US" w:eastAsia="en-US"/>
    </w:rPr>
  </w:style>
  <w:style w:type="paragraph" w:customStyle="1" w:styleId="Figures">
    <w:name w:val="Figures"/>
    <w:basedOn w:val="Normal"/>
    <w:link w:val="FiguresChar"/>
    <w:autoRedefine/>
    <w:qFormat/>
    <w:rsid w:val="0074019E"/>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Arial" w:eastAsia="Times New Roman" w:hAnsi="Arial" w:cs="Arial"/>
      <w:bCs/>
      <w:sz w:val="24"/>
      <w:szCs w:val="20"/>
      <w:lang w:val="en-GB" w:eastAsia="en-GB"/>
    </w:rPr>
  </w:style>
  <w:style w:type="character" w:customStyle="1" w:styleId="FiguresChar">
    <w:name w:val="Figures Char"/>
    <w:basedOn w:val="DefaultParagraphFont"/>
    <w:link w:val="Figures"/>
    <w:rsid w:val="0074019E"/>
    <w:rPr>
      <w:rFonts w:ascii="Arial" w:hAnsi="Arial" w:cs="Arial"/>
      <w:bCs/>
      <w:sz w:val="24"/>
    </w:rPr>
  </w:style>
  <w:style w:type="paragraph" w:styleId="NormalWeb">
    <w:name w:val="Normal (Web)"/>
    <w:basedOn w:val="Normal"/>
    <w:uiPriority w:val="99"/>
    <w:unhideWhenUsed/>
    <w:rsid w:val="0074019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6799567">
      <w:bodyDiv w:val="1"/>
      <w:marLeft w:val="0"/>
      <w:marRight w:val="0"/>
      <w:marTop w:val="0"/>
      <w:marBottom w:val="0"/>
      <w:divBdr>
        <w:top w:val="none" w:sz="0" w:space="0" w:color="auto"/>
        <w:left w:val="none" w:sz="0" w:space="0" w:color="auto"/>
        <w:bottom w:val="none" w:sz="0" w:space="0" w:color="auto"/>
        <w:right w:val="none" w:sz="0" w:space="0" w:color="auto"/>
      </w:divBdr>
    </w:div>
    <w:div w:id="571351302">
      <w:bodyDiv w:val="1"/>
      <w:marLeft w:val="0"/>
      <w:marRight w:val="0"/>
      <w:marTop w:val="0"/>
      <w:marBottom w:val="0"/>
      <w:divBdr>
        <w:top w:val="none" w:sz="0" w:space="0" w:color="auto"/>
        <w:left w:val="none" w:sz="0" w:space="0" w:color="auto"/>
        <w:bottom w:val="none" w:sz="0" w:space="0" w:color="auto"/>
        <w:right w:val="none" w:sz="0" w:space="0" w:color="auto"/>
      </w:divBdr>
    </w:div>
    <w:div w:id="1314605650">
      <w:bodyDiv w:val="1"/>
      <w:marLeft w:val="0"/>
      <w:marRight w:val="0"/>
      <w:marTop w:val="0"/>
      <w:marBottom w:val="0"/>
      <w:divBdr>
        <w:top w:val="none" w:sz="0" w:space="0" w:color="auto"/>
        <w:left w:val="none" w:sz="0" w:space="0" w:color="auto"/>
        <w:bottom w:val="none" w:sz="0" w:space="0" w:color="auto"/>
        <w:right w:val="none" w:sz="0" w:space="0" w:color="auto"/>
      </w:divBdr>
      <w:divsChild>
        <w:div w:id="704788716">
          <w:marLeft w:val="0"/>
          <w:marRight w:val="0"/>
          <w:marTop w:val="0"/>
          <w:marBottom w:val="0"/>
          <w:divBdr>
            <w:top w:val="none" w:sz="0" w:space="0" w:color="auto"/>
            <w:left w:val="none" w:sz="0" w:space="0" w:color="auto"/>
            <w:bottom w:val="none" w:sz="0" w:space="0" w:color="auto"/>
            <w:right w:val="none" w:sz="0" w:space="0" w:color="auto"/>
          </w:divBdr>
          <w:divsChild>
            <w:div w:id="165025878">
              <w:marLeft w:val="0"/>
              <w:marRight w:val="0"/>
              <w:marTop w:val="0"/>
              <w:marBottom w:val="0"/>
              <w:divBdr>
                <w:top w:val="none" w:sz="0" w:space="0" w:color="auto"/>
                <w:left w:val="none" w:sz="0" w:space="0" w:color="auto"/>
                <w:bottom w:val="none" w:sz="0" w:space="0" w:color="auto"/>
                <w:right w:val="none" w:sz="0" w:space="0" w:color="auto"/>
              </w:divBdr>
              <w:divsChild>
                <w:div w:id="1322538507">
                  <w:marLeft w:val="0"/>
                  <w:marRight w:val="0"/>
                  <w:marTop w:val="0"/>
                  <w:marBottom w:val="0"/>
                  <w:divBdr>
                    <w:top w:val="none" w:sz="0" w:space="0" w:color="auto"/>
                    <w:left w:val="none" w:sz="0" w:space="0" w:color="auto"/>
                    <w:bottom w:val="none" w:sz="0" w:space="0" w:color="auto"/>
                    <w:right w:val="none" w:sz="0" w:space="0" w:color="auto"/>
                  </w:divBdr>
                  <w:divsChild>
                    <w:div w:id="556359986">
                      <w:marLeft w:val="0"/>
                      <w:marRight w:val="0"/>
                      <w:marTop w:val="0"/>
                      <w:marBottom w:val="0"/>
                      <w:divBdr>
                        <w:top w:val="none" w:sz="0" w:space="0" w:color="auto"/>
                        <w:left w:val="none" w:sz="0" w:space="0" w:color="auto"/>
                        <w:bottom w:val="none" w:sz="0" w:space="0" w:color="auto"/>
                        <w:right w:val="none" w:sz="0" w:space="0" w:color="auto"/>
                      </w:divBdr>
                      <w:divsChild>
                        <w:div w:id="2028944746">
                          <w:marLeft w:val="0"/>
                          <w:marRight w:val="0"/>
                          <w:marTop w:val="0"/>
                          <w:marBottom w:val="0"/>
                          <w:divBdr>
                            <w:top w:val="none" w:sz="0" w:space="0" w:color="auto"/>
                            <w:left w:val="none" w:sz="0" w:space="0" w:color="auto"/>
                            <w:bottom w:val="none" w:sz="0" w:space="0" w:color="auto"/>
                            <w:right w:val="none" w:sz="0" w:space="0" w:color="auto"/>
                          </w:divBdr>
                          <w:divsChild>
                            <w:div w:id="56520188">
                              <w:marLeft w:val="0"/>
                              <w:marRight w:val="0"/>
                              <w:marTop w:val="0"/>
                              <w:marBottom w:val="0"/>
                              <w:divBdr>
                                <w:top w:val="none" w:sz="0" w:space="0" w:color="auto"/>
                                <w:left w:val="none" w:sz="0" w:space="0" w:color="auto"/>
                                <w:bottom w:val="none" w:sz="0" w:space="0" w:color="auto"/>
                                <w:right w:val="none" w:sz="0" w:space="0" w:color="auto"/>
                              </w:divBdr>
                              <w:divsChild>
                                <w:div w:id="1539927101">
                                  <w:marLeft w:val="0"/>
                                  <w:marRight w:val="0"/>
                                  <w:marTop w:val="0"/>
                                  <w:marBottom w:val="0"/>
                                  <w:divBdr>
                                    <w:top w:val="none" w:sz="0" w:space="0" w:color="auto"/>
                                    <w:left w:val="none" w:sz="0" w:space="0" w:color="auto"/>
                                    <w:bottom w:val="none" w:sz="0" w:space="0" w:color="auto"/>
                                    <w:right w:val="none" w:sz="0" w:space="0" w:color="auto"/>
                                  </w:divBdr>
                                  <w:divsChild>
                                    <w:div w:id="993988208">
                                      <w:marLeft w:val="0"/>
                                      <w:marRight w:val="0"/>
                                      <w:marTop w:val="0"/>
                                      <w:marBottom w:val="0"/>
                                      <w:divBdr>
                                        <w:top w:val="none" w:sz="0" w:space="0" w:color="auto"/>
                                        <w:left w:val="none" w:sz="0" w:space="0" w:color="auto"/>
                                        <w:bottom w:val="none" w:sz="0" w:space="0" w:color="auto"/>
                                        <w:right w:val="none" w:sz="0" w:space="0" w:color="auto"/>
                                      </w:divBdr>
                                      <w:divsChild>
                                        <w:div w:id="1941528304">
                                          <w:marLeft w:val="0"/>
                                          <w:marRight w:val="0"/>
                                          <w:marTop w:val="0"/>
                                          <w:marBottom w:val="0"/>
                                          <w:divBdr>
                                            <w:top w:val="none" w:sz="0" w:space="0" w:color="auto"/>
                                            <w:left w:val="none" w:sz="0" w:space="0" w:color="auto"/>
                                            <w:bottom w:val="none" w:sz="0" w:space="0" w:color="auto"/>
                                            <w:right w:val="none" w:sz="0" w:space="0" w:color="auto"/>
                                          </w:divBdr>
                                          <w:divsChild>
                                            <w:div w:id="1987859875">
                                              <w:marLeft w:val="0"/>
                                              <w:marRight w:val="0"/>
                                              <w:marTop w:val="0"/>
                                              <w:marBottom w:val="0"/>
                                              <w:divBdr>
                                                <w:top w:val="none" w:sz="0" w:space="0" w:color="auto"/>
                                                <w:left w:val="none" w:sz="0" w:space="0" w:color="auto"/>
                                                <w:bottom w:val="none" w:sz="0" w:space="0" w:color="auto"/>
                                                <w:right w:val="none" w:sz="0" w:space="0" w:color="auto"/>
                                              </w:divBdr>
                                              <w:divsChild>
                                                <w:div w:id="1016611467">
                                                  <w:marLeft w:val="0"/>
                                                  <w:marRight w:val="0"/>
                                                  <w:marTop w:val="0"/>
                                                  <w:marBottom w:val="0"/>
                                                  <w:divBdr>
                                                    <w:top w:val="none" w:sz="0" w:space="0" w:color="auto"/>
                                                    <w:left w:val="none" w:sz="0" w:space="0" w:color="auto"/>
                                                    <w:bottom w:val="none" w:sz="0" w:space="0" w:color="auto"/>
                                                    <w:right w:val="none" w:sz="0" w:space="0" w:color="auto"/>
                                                  </w:divBdr>
                                                  <w:divsChild>
                                                    <w:div w:id="78410858">
                                                      <w:marLeft w:val="0"/>
                                                      <w:marRight w:val="0"/>
                                                      <w:marTop w:val="0"/>
                                                      <w:marBottom w:val="0"/>
                                                      <w:divBdr>
                                                        <w:top w:val="single" w:sz="6" w:space="0" w:color="auto"/>
                                                        <w:left w:val="none" w:sz="0" w:space="0" w:color="auto"/>
                                                        <w:bottom w:val="single" w:sz="6" w:space="0" w:color="auto"/>
                                                        <w:right w:val="none" w:sz="0" w:space="0" w:color="auto"/>
                                                      </w:divBdr>
                                                      <w:divsChild>
                                                        <w:div w:id="326981128">
                                                          <w:marLeft w:val="0"/>
                                                          <w:marRight w:val="0"/>
                                                          <w:marTop w:val="0"/>
                                                          <w:marBottom w:val="0"/>
                                                          <w:divBdr>
                                                            <w:top w:val="none" w:sz="0" w:space="0" w:color="auto"/>
                                                            <w:left w:val="none" w:sz="0" w:space="0" w:color="auto"/>
                                                            <w:bottom w:val="none" w:sz="0" w:space="0" w:color="auto"/>
                                                            <w:right w:val="none" w:sz="0" w:space="0" w:color="auto"/>
                                                          </w:divBdr>
                                                          <w:divsChild>
                                                            <w:div w:id="350378291">
                                                              <w:marLeft w:val="0"/>
                                                              <w:marRight w:val="0"/>
                                                              <w:marTop w:val="0"/>
                                                              <w:marBottom w:val="0"/>
                                                              <w:divBdr>
                                                                <w:top w:val="none" w:sz="0" w:space="0" w:color="auto"/>
                                                                <w:left w:val="none" w:sz="0" w:space="0" w:color="auto"/>
                                                                <w:bottom w:val="none" w:sz="0" w:space="0" w:color="auto"/>
                                                                <w:right w:val="none" w:sz="0" w:space="0" w:color="auto"/>
                                                              </w:divBdr>
                                                              <w:divsChild>
                                                                <w:div w:id="406390328">
                                                                  <w:marLeft w:val="0"/>
                                                                  <w:marRight w:val="0"/>
                                                                  <w:marTop w:val="0"/>
                                                                  <w:marBottom w:val="0"/>
                                                                  <w:divBdr>
                                                                    <w:top w:val="none" w:sz="0" w:space="0" w:color="auto"/>
                                                                    <w:left w:val="none" w:sz="0" w:space="0" w:color="auto"/>
                                                                    <w:bottom w:val="none" w:sz="0" w:space="0" w:color="auto"/>
                                                                    <w:right w:val="none" w:sz="0" w:space="0" w:color="auto"/>
                                                                  </w:divBdr>
                                                                  <w:divsChild>
                                                                    <w:div w:id="1369259757">
                                                                      <w:marLeft w:val="0"/>
                                                                      <w:marRight w:val="0"/>
                                                                      <w:marTop w:val="0"/>
                                                                      <w:marBottom w:val="0"/>
                                                                      <w:divBdr>
                                                                        <w:top w:val="none" w:sz="0" w:space="0" w:color="auto"/>
                                                                        <w:left w:val="none" w:sz="0" w:space="0" w:color="auto"/>
                                                                        <w:bottom w:val="none" w:sz="0" w:space="0" w:color="auto"/>
                                                                        <w:right w:val="none" w:sz="0" w:space="0" w:color="auto"/>
                                                                      </w:divBdr>
                                                                      <w:divsChild>
                                                                        <w:div w:id="1759521650">
                                                                          <w:marLeft w:val="-75"/>
                                                                          <w:marRight w:val="0"/>
                                                                          <w:marTop w:val="30"/>
                                                                          <w:marBottom w:val="30"/>
                                                                          <w:divBdr>
                                                                            <w:top w:val="none" w:sz="0" w:space="0" w:color="auto"/>
                                                                            <w:left w:val="none" w:sz="0" w:space="0" w:color="auto"/>
                                                                            <w:bottom w:val="none" w:sz="0" w:space="0" w:color="auto"/>
                                                                            <w:right w:val="none" w:sz="0" w:space="0" w:color="auto"/>
                                                                          </w:divBdr>
                                                                          <w:divsChild>
                                                                            <w:div w:id="750271177">
                                                                              <w:marLeft w:val="0"/>
                                                                              <w:marRight w:val="0"/>
                                                                              <w:marTop w:val="0"/>
                                                                              <w:marBottom w:val="0"/>
                                                                              <w:divBdr>
                                                                                <w:top w:val="none" w:sz="0" w:space="0" w:color="auto"/>
                                                                                <w:left w:val="none" w:sz="0" w:space="0" w:color="auto"/>
                                                                                <w:bottom w:val="none" w:sz="0" w:space="0" w:color="auto"/>
                                                                                <w:right w:val="none" w:sz="0" w:space="0" w:color="auto"/>
                                                                              </w:divBdr>
                                                                              <w:divsChild>
                                                                                <w:div w:id="1304314689">
                                                                                  <w:marLeft w:val="0"/>
                                                                                  <w:marRight w:val="0"/>
                                                                                  <w:marTop w:val="0"/>
                                                                                  <w:marBottom w:val="0"/>
                                                                                  <w:divBdr>
                                                                                    <w:top w:val="none" w:sz="0" w:space="0" w:color="auto"/>
                                                                                    <w:left w:val="none" w:sz="0" w:space="0" w:color="auto"/>
                                                                                    <w:bottom w:val="none" w:sz="0" w:space="0" w:color="auto"/>
                                                                                    <w:right w:val="none" w:sz="0" w:space="0" w:color="auto"/>
                                                                                  </w:divBdr>
                                                                                  <w:divsChild>
                                                                                    <w:div w:id="502672826">
                                                                                      <w:marLeft w:val="0"/>
                                                                                      <w:marRight w:val="0"/>
                                                                                      <w:marTop w:val="0"/>
                                                                                      <w:marBottom w:val="0"/>
                                                                                      <w:divBdr>
                                                                                        <w:top w:val="none" w:sz="0" w:space="0" w:color="auto"/>
                                                                                        <w:left w:val="none" w:sz="0" w:space="0" w:color="auto"/>
                                                                                        <w:bottom w:val="none" w:sz="0" w:space="0" w:color="auto"/>
                                                                                        <w:right w:val="none" w:sz="0" w:space="0" w:color="auto"/>
                                                                                      </w:divBdr>
                                                                                      <w:divsChild>
                                                                                        <w:div w:id="906770683">
                                                                                          <w:marLeft w:val="0"/>
                                                                                          <w:marRight w:val="0"/>
                                                                                          <w:marTop w:val="0"/>
                                                                                          <w:marBottom w:val="0"/>
                                                                                          <w:divBdr>
                                                                                            <w:top w:val="none" w:sz="0" w:space="0" w:color="auto"/>
                                                                                            <w:left w:val="none" w:sz="0" w:space="0" w:color="auto"/>
                                                                                            <w:bottom w:val="none" w:sz="0" w:space="0" w:color="auto"/>
                                                                                            <w:right w:val="none" w:sz="0" w:space="0" w:color="auto"/>
                                                                                          </w:divBdr>
                                                                                          <w:divsChild>
                                                                                            <w:div w:id="750810922">
                                                                                              <w:marLeft w:val="0"/>
                                                                                              <w:marRight w:val="0"/>
                                                                                              <w:marTop w:val="0"/>
                                                                                              <w:marBottom w:val="0"/>
                                                                                              <w:divBdr>
                                                                                                <w:top w:val="none" w:sz="0" w:space="0" w:color="auto"/>
                                                                                                <w:left w:val="none" w:sz="0" w:space="0" w:color="auto"/>
                                                                                                <w:bottom w:val="none" w:sz="0" w:space="0" w:color="auto"/>
                                                                                                <w:right w:val="none" w:sz="0" w:space="0" w:color="auto"/>
                                                                                              </w:divBdr>
                                                                                            </w:div>
                                                                                            <w:div w:id="66751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2792925">
      <w:bodyDiv w:val="1"/>
      <w:marLeft w:val="0"/>
      <w:marRight w:val="0"/>
      <w:marTop w:val="0"/>
      <w:marBottom w:val="0"/>
      <w:divBdr>
        <w:top w:val="none" w:sz="0" w:space="0" w:color="auto"/>
        <w:left w:val="none" w:sz="0" w:space="0" w:color="auto"/>
        <w:bottom w:val="none" w:sz="0" w:space="0" w:color="auto"/>
        <w:right w:val="none" w:sz="0" w:space="0" w:color="auto"/>
      </w:divBdr>
    </w:div>
    <w:div w:id="1645697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189216-711E-420E-9598-A4F065AA507C}">
  <ds:schemaRefs>
    <ds:schemaRef ds:uri="http://schemas.microsoft.com/office/2006/documentManagement/types"/>
    <ds:schemaRef ds:uri="9b239327-9e80-40e4-b1b7-4394fed77a33"/>
    <ds:schemaRef ds:uri="http://purl.org/dc/elements/1.1/"/>
    <ds:schemaRef ds:uri="http://schemas.microsoft.com/office/2006/metadata/properties"/>
    <ds:schemaRef ds:uri="http://schemas.openxmlformats.org/package/2006/metadata/core-properties"/>
    <ds:schemaRef ds:uri="http://schemas.microsoft.com/sharepoint/v3"/>
    <ds:schemaRef ds:uri="http://purl.org/dc/term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74821FF0-35CB-4066-8A53-685B52411A9A}"/>
</file>

<file path=customXml/itemProps3.xml><?xml version="1.0" encoding="utf-8"?>
<ds:datastoreItem xmlns:ds="http://schemas.openxmlformats.org/officeDocument/2006/customXml" ds:itemID="{6886F77E-9EAB-4C09-8296-4AC1E16FA5C3}">
  <ds:schemaRefs>
    <ds:schemaRef ds:uri="http://schemas.openxmlformats.org/officeDocument/2006/bibliography"/>
  </ds:schemaRefs>
</ds:datastoreItem>
</file>

<file path=customXml/itemProps4.xml><?xml version="1.0" encoding="utf-8"?>
<ds:datastoreItem xmlns:ds="http://schemas.openxmlformats.org/officeDocument/2006/customXml" ds:itemID="{51DAC1BD-3FBB-48D2-856A-14956C22DC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836</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2021-09-29T20:15:00Z</dcterms:created>
  <dcterms:modified xsi:type="dcterms:W3CDTF">2021-11-06T03:00:00Z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y fmtid="{D5CDD505-2E9C-101B-9397-08002B2CF9AE}" pid="4" name="_dlc_DocIdItemGuid">
    <vt:lpwstr>36805b6b-a34c-405a-97f3-12c6e85fac81</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50523300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5NUHHDQN7SK2-1476151046-507228</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https://ericsson.sharepoint.com/sites/star/_layouts/15/DocIdRedir.aspx?ID=5NUHHDQN7SK2-1476151046-507228, 5NUHHDQN7SK2-1476151046-507228</vt:lpwstr>
  </property>
  <property fmtid="{D5CDD505-2E9C-101B-9397-08002B2CF9AE}" pid="23" name="_SourceUrl">
    <vt:lpwstr/>
  </property>
  <property fmtid="{D5CDD505-2E9C-101B-9397-08002B2CF9AE}" pid="24" name="_SharedFileIndex">
    <vt:lpwstr/>
  </property>
</Properties>
</file>